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86A883" w14:textId="77777777" w:rsidR="00ED67C3" w:rsidRDefault="00ED67C3" w:rsidP="00ED67C3">
      <w:pPr>
        <w:pStyle w:val="Nadpis1"/>
        <w:jc w:val="center"/>
        <w:rPr>
          <w:sz w:val="24"/>
        </w:rPr>
      </w:pPr>
      <w:r>
        <w:rPr>
          <w:sz w:val="24"/>
        </w:rPr>
        <w:t xml:space="preserve">Vypořádání připomínek k výpisu vybraných usnesení přijatých 15. korespondenčním hlasováním </w:t>
      </w:r>
    </w:p>
    <w:p w14:paraId="1FFB786B" w14:textId="77777777" w:rsidR="00ED67C3" w:rsidRDefault="00ED67C3" w:rsidP="00ED67C3">
      <w:pPr>
        <w:pStyle w:val="Nadpis1"/>
        <w:jc w:val="center"/>
        <w:rPr>
          <w:b w:val="0"/>
        </w:rPr>
      </w:pPr>
      <w:r>
        <w:rPr>
          <w:sz w:val="24"/>
        </w:rPr>
        <w:t>Rady pro vnitřní hodnocení Univerzity Tomáše Bati ve Zlíně</w:t>
      </w:r>
    </w:p>
    <w:p w14:paraId="0D4757A6" w14:textId="77777777" w:rsidR="00ED67C3" w:rsidRDefault="00ED67C3" w:rsidP="00ED67C3">
      <w:pPr>
        <w:pStyle w:val="Normlnweb"/>
        <w:tabs>
          <w:tab w:val="left" w:pos="142"/>
        </w:tabs>
        <w:spacing w:before="0" w:beforeAutospacing="0" w:after="0" w:afterAutospacing="0"/>
        <w:jc w:val="center"/>
        <w:rPr>
          <w:b/>
        </w:rPr>
      </w:pPr>
      <w:r>
        <w:rPr>
          <w:b/>
        </w:rPr>
        <w:t>pro Fakultu managementu a ekonomiky UTB ve Zlíně</w:t>
      </w:r>
    </w:p>
    <w:p w14:paraId="04FA2651" w14:textId="77777777" w:rsidR="00ED67C3" w:rsidRDefault="00ED67C3" w:rsidP="00ED67C3">
      <w:pPr>
        <w:pStyle w:val="Normlnweb"/>
        <w:tabs>
          <w:tab w:val="left" w:pos="142"/>
        </w:tabs>
        <w:spacing w:before="0" w:beforeAutospacing="0" w:after="0" w:afterAutospacing="0"/>
        <w:jc w:val="center"/>
        <w:rPr>
          <w:b/>
        </w:rPr>
      </w:pPr>
    </w:p>
    <w:p w14:paraId="0B9CAEF2" w14:textId="331FF184" w:rsidR="00ED67C3" w:rsidRDefault="00ED67C3" w:rsidP="00ED67C3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b/>
          <w:color w:val="FF0000"/>
        </w:rPr>
      </w:pPr>
      <w:r w:rsidRPr="00EB7FCB">
        <w:rPr>
          <w:b/>
          <w:color w:val="FF0000"/>
        </w:rPr>
        <w:t>Studijní program: Finance (český jazyk)</w:t>
      </w:r>
    </w:p>
    <w:p w14:paraId="6B81117E" w14:textId="7332B26F" w:rsidR="00EB7FCB" w:rsidRPr="00EB7FCB" w:rsidRDefault="00EB7FCB" w:rsidP="00ED67C3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bCs/>
          <w:color w:val="FF0000"/>
        </w:rPr>
      </w:pPr>
      <w:r w:rsidRPr="00EB7FCB">
        <w:rPr>
          <w:bCs/>
          <w:color w:val="FF0000"/>
        </w:rPr>
        <w:t>se specializacemi:</w:t>
      </w:r>
      <w:r w:rsidRPr="00EB7FCB">
        <w:rPr>
          <w:bCs/>
          <w:color w:val="FF0000"/>
        </w:rPr>
        <w:tab/>
        <w:t>Finance podniku</w:t>
      </w:r>
    </w:p>
    <w:p w14:paraId="20EA9F52" w14:textId="0585545C" w:rsidR="00EB7FCB" w:rsidRPr="00EB7FCB" w:rsidRDefault="00EB7FCB" w:rsidP="00ED67C3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bCs/>
          <w:color w:val="FF0000"/>
        </w:rPr>
      </w:pPr>
      <w:r w:rsidRPr="00EB7FCB">
        <w:rPr>
          <w:bCs/>
          <w:color w:val="FF0000"/>
        </w:rPr>
        <w:tab/>
      </w:r>
      <w:r w:rsidRPr="00EB7FCB">
        <w:rPr>
          <w:bCs/>
          <w:color w:val="FF0000"/>
        </w:rPr>
        <w:tab/>
      </w:r>
      <w:r w:rsidRPr="00EB7FCB">
        <w:rPr>
          <w:bCs/>
          <w:color w:val="FF0000"/>
        </w:rPr>
        <w:tab/>
      </w:r>
      <w:r w:rsidRPr="00EB7FCB">
        <w:rPr>
          <w:bCs/>
          <w:color w:val="FF0000"/>
        </w:rPr>
        <w:tab/>
        <w:t>Finanční kontrola</w:t>
      </w:r>
    </w:p>
    <w:p w14:paraId="670211D4" w14:textId="1D326697" w:rsidR="00EB7FCB" w:rsidRPr="00EB7FCB" w:rsidRDefault="00EB7FCB" w:rsidP="00ED67C3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bCs/>
          <w:color w:val="FF0000"/>
        </w:rPr>
      </w:pPr>
      <w:r w:rsidRPr="00EB7FCB">
        <w:rPr>
          <w:bCs/>
          <w:color w:val="FF0000"/>
        </w:rPr>
        <w:tab/>
      </w:r>
      <w:r w:rsidRPr="00EB7FCB">
        <w:rPr>
          <w:bCs/>
          <w:color w:val="FF0000"/>
        </w:rPr>
        <w:tab/>
      </w:r>
      <w:r w:rsidRPr="00EB7FCB">
        <w:rPr>
          <w:bCs/>
          <w:color w:val="FF0000"/>
        </w:rPr>
        <w:tab/>
      </w:r>
      <w:r w:rsidRPr="00EB7FCB">
        <w:rPr>
          <w:bCs/>
          <w:color w:val="FF0000"/>
        </w:rPr>
        <w:tab/>
        <w:t>Finanční trhy a technologie</w:t>
      </w:r>
    </w:p>
    <w:p w14:paraId="14F03243" w14:textId="77777777" w:rsidR="00ED67C3" w:rsidRDefault="00ED67C3" w:rsidP="00ED67C3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b/>
        </w:rPr>
      </w:pPr>
    </w:p>
    <w:p w14:paraId="5DC4FE98" w14:textId="77777777" w:rsidR="00ED67C3" w:rsidRDefault="00ED67C3" w:rsidP="00ED67C3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>Připomínka:</w:t>
      </w:r>
    </w:p>
    <w:p w14:paraId="6967E748" w14:textId="77777777" w:rsidR="00ED67C3" w:rsidRPr="00EB7FCB" w:rsidRDefault="00ED67C3" w:rsidP="00ED67C3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i/>
          <w:iCs/>
        </w:rPr>
      </w:pPr>
      <w:r w:rsidRPr="00EB7FCB">
        <w:rPr>
          <w:i/>
          <w:iCs/>
        </w:rPr>
        <w:t xml:space="preserve">Sjednotit obsahovou úroveň zpracování formulářů B-III, v některých případech </w:t>
      </w:r>
      <w:r w:rsidRPr="00EB7FCB">
        <w:rPr>
          <w:i/>
          <w:iCs/>
        </w:rPr>
        <w:br/>
        <w:t xml:space="preserve">do formulářů doplnit více aktuální literaturu. </w:t>
      </w:r>
    </w:p>
    <w:p w14:paraId="703E7E58" w14:textId="77777777" w:rsidR="00D92211" w:rsidRDefault="00ED67C3" w:rsidP="00EB7FCB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b/>
          <w:bCs/>
        </w:rPr>
      </w:pPr>
      <w:r>
        <w:rPr>
          <w:b/>
          <w:bCs/>
        </w:rPr>
        <w:t>Vypořádání připomínky:</w:t>
      </w:r>
    </w:p>
    <w:p w14:paraId="2E2D6964" w14:textId="2881FA98" w:rsidR="00D92211" w:rsidRPr="00D92211" w:rsidRDefault="00ED67C3" w:rsidP="00D92211">
      <w:pPr>
        <w:pStyle w:val="Normlnweb"/>
        <w:tabs>
          <w:tab w:val="left" w:pos="142"/>
        </w:tabs>
        <w:spacing w:before="0" w:beforeAutospacing="0"/>
        <w:jc w:val="both"/>
        <w:rPr>
          <w:b/>
          <w:bCs/>
        </w:rPr>
      </w:pPr>
      <w:r>
        <w:t xml:space="preserve">Karty předmětů ve formuláři B-III byly sjednoceny, literatura ve vybraných předmětech byla zaktualizována. </w:t>
      </w:r>
    </w:p>
    <w:p w14:paraId="6161810D" w14:textId="77777777" w:rsidR="00ED67C3" w:rsidRPr="00EB7FCB" w:rsidRDefault="00ED67C3" w:rsidP="00ED67C3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b/>
          <w:i/>
          <w:iCs/>
        </w:rPr>
      </w:pPr>
      <w:r w:rsidRPr="00EB7FCB">
        <w:rPr>
          <w:b/>
          <w:i/>
          <w:iCs/>
        </w:rPr>
        <w:t>Připomínka:</w:t>
      </w:r>
    </w:p>
    <w:p w14:paraId="74A0AA9C" w14:textId="77777777" w:rsidR="00ED67C3" w:rsidRPr="00EB7FCB" w:rsidRDefault="00ED67C3" w:rsidP="00ED67C3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i/>
          <w:iCs/>
        </w:rPr>
      </w:pPr>
      <w:r w:rsidRPr="00EB7FCB">
        <w:rPr>
          <w:i/>
          <w:iCs/>
        </w:rPr>
        <w:t xml:space="preserve">Sjednotit kvalitu zpracovaných podkladů/studijních opor pro kombinovanou formu studia v systému MOODLE. </w:t>
      </w:r>
    </w:p>
    <w:p w14:paraId="3E70BA34" w14:textId="05A43FCD" w:rsidR="00D92211" w:rsidRDefault="00ED67C3" w:rsidP="00D92211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b/>
          <w:bCs/>
        </w:rPr>
      </w:pPr>
      <w:r>
        <w:rPr>
          <w:b/>
          <w:bCs/>
        </w:rPr>
        <w:t>Vypořádání připomínky:</w:t>
      </w:r>
    </w:p>
    <w:p w14:paraId="5F72C967" w14:textId="07B178B7" w:rsidR="00ED67C3" w:rsidRPr="00D92211" w:rsidRDefault="00ED67C3" w:rsidP="00D92211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b/>
          <w:bCs/>
        </w:rPr>
      </w:pPr>
      <w:r>
        <w:t>Studijní opory pro kombinovanou formu byly v systému Moodle kvalitativně upraveny (Veřejné finance, Veřejná podpora a veřejné zakázky a Pracovní právo).</w:t>
      </w:r>
    </w:p>
    <w:p w14:paraId="51A56E40" w14:textId="26C4F7C4" w:rsidR="00ED67C3" w:rsidRDefault="00ED67C3" w:rsidP="00ED67C3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b/>
          <w:bCs/>
        </w:rPr>
      </w:pPr>
      <w:r>
        <w:rPr>
          <w:b/>
          <w:bCs/>
        </w:rPr>
        <w:t xml:space="preserve"> </w:t>
      </w:r>
    </w:p>
    <w:p w14:paraId="6D61D146" w14:textId="03C184D6" w:rsidR="00C84F7F" w:rsidRDefault="00C84F7F" w:rsidP="00ED67C3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Poznámka: systém LMS Moodle měl projít v době 24. – 28. 8. 2020 aktualizací. Plánovaná odstávka systému se ovšem protáhla a v době odeslání vypořádání připomínek 31. 8. 2020 byl systém stále nefunkční. Podle informací správců systému z Fakulty aplikované informatiky by k jeho spuštění mělo dojít  ve středu 2. 9. 2020. Žádáme proto hodnotitele, aby tento technický problém, který není zaviněn na naší straně, a nemůžeme ho nijak ovlivnit, vzali v potaz a případně studijní opory podrobili kontrole až po 2. 9. 2020. Kdyby se vyskytly nějaké problémy, prosíme, abyste nás kontaktovali, protože jsme nebyli schopni funkčnost všech studijních opor ještě znovu zkontrolovat v době od 24. 8. 2020. </w:t>
      </w:r>
    </w:p>
    <w:p w14:paraId="3E637165" w14:textId="77777777" w:rsidR="00C84F7F" w:rsidRDefault="00C84F7F" w:rsidP="00ED67C3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b/>
        </w:rPr>
      </w:pPr>
    </w:p>
    <w:p w14:paraId="5283746D" w14:textId="77777777" w:rsidR="00ED67C3" w:rsidRPr="00EB7FCB" w:rsidRDefault="00ED67C3" w:rsidP="00ED67C3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b/>
          <w:i/>
          <w:iCs/>
        </w:rPr>
      </w:pPr>
      <w:r w:rsidRPr="00EB7FCB">
        <w:rPr>
          <w:b/>
          <w:i/>
          <w:iCs/>
        </w:rPr>
        <w:t>Připomínka:</w:t>
      </w:r>
    </w:p>
    <w:p w14:paraId="18165803" w14:textId="77777777" w:rsidR="00ED67C3" w:rsidRDefault="00ED67C3" w:rsidP="00ED67C3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b/>
          <w:bCs/>
        </w:rPr>
      </w:pPr>
      <w:r w:rsidRPr="00EB7FCB">
        <w:rPr>
          <w:i/>
          <w:iCs/>
        </w:rPr>
        <w:t>Okomentovat v sebehodnotící zprávě nižší tvůrčí činnost některých garantů předmětů.</w:t>
      </w:r>
      <w:r>
        <w:t xml:space="preserve"> </w:t>
      </w:r>
      <w:r>
        <w:rPr>
          <w:b/>
          <w:bCs/>
        </w:rPr>
        <w:t>Vypořádání připomínky:</w:t>
      </w:r>
    </w:p>
    <w:p w14:paraId="2C3B1979" w14:textId="2C574DCA" w:rsidR="00ED67C3" w:rsidRDefault="00ED67C3" w:rsidP="00ED67C3">
      <w:pPr>
        <w:pStyle w:val="Normlnweb"/>
        <w:tabs>
          <w:tab w:val="left" w:pos="142"/>
        </w:tabs>
        <w:spacing w:before="0" w:beforeAutospacing="0" w:after="0" w:afterAutospacing="0"/>
        <w:jc w:val="both"/>
      </w:pPr>
      <w:r>
        <w:t>Komentář je uveden v upravené sebehodnotící zprávě v rámci standard</w:t>
      </w:r>
      <w:r w:rsidR="00D92211">
        <w:t>ů</w:t>
      </w:r>
      <w:r>
        <w:t xml:space="preserve"> 6.1-6.2, 6.8.</w:t>
      </w:r>
    </w:p>
    <w:p w14:paraId="724CFB24" w14:textId="77777777" w:rsidR="00ED67C3" w:rsidRDefault="00ED67C3" w:rsidP="00ED67C3">
      <w:pPr>
        <w:pStyle w:val="Normlnweb"/>
        <w:tabs>
          <w:tab w:val="left" w:pos="142"/>
        </w:tabs>
        <w:spacing w:before="0" w:beforeAutospacing="0" w:after="0" w:afterAutospacing="0"/>
        <w:jc w:val="both"/>
      </w:pPr>
    </w:p>
    <w:p w14:paraId="0E4B7929" w14:textId="77777777" w:rsidR="00ED67C3" w:rsidRPr="00EB7FCB" w:rsidRDefault="00ED67C3" w:rsidP="00ED67C3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b/>
          <w:i/>
          <w:iCs/>
        </w:rPr>
      </w:pPr>
      <w:r w:rsidRPr="00EB7FCB">
        <w:rPr>
          <w:b/>
          <w:i/>
          <w:iCs/>
        </w:rPr>
        <w:t>Připomínka:</w:t>
      </w:r>
    </w:p>
    <w:p w14:paraId="0073CEB9" w14:textId="77777777" w:rsidR="00ED67C3" w:rsidRDefault="00ED67C3" w:rsidP="00EB7FCB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b/>
          <w:bCs/>
        </w:rPr>
      </w:pPr>
      <w:r w:rsidRPr="00EB7FCB">
        <w:rPr>
          <w:i/>
          <w:iCs/>
        </w:rPr>
        <w:t>Zvážit snížení vysoké zátěže garantky studijního programu a několika dalších klíčových akademických pracovníků, popřípadě tuto skutečnost okomentovat v sebehodnotící zprávě.</w:t>
      </w:r>
      <w:r>
        <w:t xml:space="preserve"> </w:t>
      </w:r>
      <w:r>
        <w:rPr>
          <w:b/>
          <w:bCs/>
        </w:rPr>
        <w:t>Vypořádání připomínky:</w:t>
      </w:r>
    </w:p>
    <w:p w14:paraId="05346180" w14:textId="150393CF" w:rsidR="00ED67C3" w:rsidRDefault="00ED67C3" w:rsidP="00EB7FCB">
      <w:pPr>
        <w:pStyle w:val="Normlnweb"/>
        <w:tabs>
          <w:tab w:val="left" w:pos="142"/>
        </w:tabs>
        <w:spacing w:before="0" w:beforeAutospacing="0" w:after="0" w:afterAutospacing="0"/>
        <w:jc w:val="both"/>
      </w:pPr>
      <w:r>
        <w:t>Komentář je uveden v upravené sebehodnotící zprávě v rámci standard</w:t>
      </w:r>
      <w:r w:rsidR="00D92211">
        <w:t>ů</w:t>
      </w:r>
      <w:r>
        <w:t xml:space="preserve"> 6.1-6.2, 6.8.</w:t>
      </w:r>
    </w:p>
    <w:p w14:paraId="46554DC9" w14:textId="77777777" w:rsidR="00B7755C" w:rsidRPr="00B7755C" w:rsidRDefault="00B7755C" w:rsidP="00B7755C">
      <w:pPr>
        <w:pStyle w:val="Normlnweb"/>
        <w:tabs>
          <w:tab w:val="left" w:pos="142"/>
        </w:tabs>
        <w:spacing w:before="0" w:beforeAutospacing="0" w:after="0" w:afterAutospacing="0"/>
        <w:jc w:val="both"/>
      </w:pPr>
    </w:p>
    <w:p w14:paraId="458D25B8" w14:textId="77777777" w:rsidR="00ED67C3" w:rsidRPr="00EB7FCB" w:rsidRDefault="00ED67C3" w:rsidP="00ED67C3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b/>
          <w:i/>
          <w:iCs/>
        </w:rPr>
      </w:pPr>
      <w:r w:rsidRPr="00EB7FCB">
        <w:rPr>
          <w:b/>
          <w:i/>
          <w:iCs/>
        </w:rPr>
        <w:t>Připomínka:</w:t>
      </w:r>
    </w:p>
    <w:p w14:paraId="52ECE2DA" w14:textId="77777777" w:rsidR="00ED67C3" w:rsidRPr="00EB7FCB" w:rsidRDefault="00ED67C3" w:rsidP="00ED67C3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i/>
          <w:iCs/>
        </w:rPr>
      </w:pPr>
      <w:r w:rsidRPr="00EB7FCB">
        <w:rPr>
          <w:i/>
          <w:iCs/>
        </w:rPr>
        <w:t xml:space="preserve">Upravit vyváženost SZZ ve vztahu k obsahu státnicových předmětů, popřípadě tuto skutečnost okomentovat v sebehodnotící zprávě. </w:t>
      </w:r>
    </w:p>
    <w:p w14:paraId="64C7AB52" w14:textId="77777777" w:rsidR="00ED67C3" w:rsidRDefault="00ED67C3" w:rsidP="00ED67C3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b/>
          <w:bCs/>
        </w:rPr>
      </w:pPr>
      <w:r>
        <w:rPr>
          <w:b/>
          <w:bCs/>
        </w:rPr>
        <w:t>Vypořádání připomínky:</w:t>
      </w:r>
    </w:p>
    <w:p w14:paraId="5B0458BB" w14:textId="182EEEF2" w:rsidR="00ED67C3" w:rsidRDefault="00ED67C3" w:rsidP="00ED67C3">
      <w:pPr>
        <w:pStyle w:val="Normlnweb"/>
        <w:tabs>
          <w:tab w:val="left" w:pos="142"/>
        </w:tabs>
        <w:spacing w:before="0" w:beforeAutospacing="0" w:after="0" w:afterAutospacing="0"/>
        <w:jc w:val="both"/>
      </w:pPr>
      <w:r>
        <w:lastRenderedPageBreak/>
        <w:t xml:space="preserve">Obsah SZZ byl u jednotlivých specializací upraven tak, aby byly jednotlivé </w:t>
      </w:r>
      <w:r w:rsidR="00D92211">
        <w:t xml:space="preserve">tematické </w:t>
      </w:r>
      <w:r>
        <w:t xml:space="preserve">okruhy </w:t>
      </w:r>
      <w:r w:rsidR="00D92211">
        <w:t xml:space="preserve">více </w:t>
      </w:r>
      <w:r>
        <w:t>vyvážené</w:t>
      </w:r>
      <w:r w:rsidR="00D92211">
        <w:t xml:space="preserve">. Současně platí, že se bude u tematických okruhů odrážejících specializaci jednat o </w:t>
      </w:r>
      <w:r w:rsidR="00D92211" w:rsidRPr="00D92211">
        <w:rPr>
          <w:u w:val="single"/>
        </w:rPr>
        <w:t>klíčové</w:t>
      </w:r>
      <w:r w:rsidR="00D92211">
        <w:t xml:space="preserve"> okruhy z předmětů profilujícího základu.</w:t>
      </w:r>
    </w:p>
    <w:p w14:paraId="50CCE602" w14:textId="6BC0FAA0" w:rsidR="00ED67C3" w:rsidRDefault="00ED67C3" w:rsidP="00ED67C3">
      <w:pPr>
        <w:pStyle w:val="Zkladntext"/>
        <w:ind w:left="22"/>
        <w:rPr>
          <w:sz w:val="20"/>
          <w:szCs w:val="20"/>
        </w:rPr>
      </w:pPr>
    </w:p>
    <w:p w14:paraId="75EC8CE9" w14:textId="2BD08CA0" w:rsidR="00D92211" w:rsidRDefault="00D92211" w:rsidP="00D92211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D92211">
        <w:rPr>
          <w:rFonts w:ascii="Times New Roman" w:hAnsi="Times New Roman"/>
          <w:sz w:val="24"/>
          <w:szCs w:val="24"/>
        </w:rPr>
        <w:t>Zkouška z odborné problematiky se skládá z odborné rozpravy ze tří základních tematických okruhů</w:t>
      </w:r>
      <w:r>
        <w:rPr>
          <w:rFonts w:ascii="Times New Roman" w:hAnsi="Times New Roman"/>
          <w:sz w:val="24"/>
          <w:szCs w:val="24"/>
        </w:rPr>
        <w:t>:</w:t>
      </w:r>
    </w:p>
    <w:p w14:paraId="7AAFA47F" w14:textId="3A3E2BE9" w:rsidR="00D92211" w:rsidRPr="00D92211" w:rsidRDefault="00D92211" w:rsidP="00F3025E">
      <w:pPr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 w:rsidRPr="00D92211">
        <w:rPr>
          <w:rFonts w:ascii="Times New Roman" w:hAnsi="Times New Roman"/>
          <w:b/>
          <w:bCs/>
          <w:sz w:val="20"/>
          <w:szCs w:val="20"/>
        </w:rPr>
        <w:t>Specializace Finance podniku</w:t>
      </w:r>
    </w:p>
    <w:p w14:paraId="0EE6D011" w14:textId="77777777" w:rsidR="00D92211" w:rsidRPr="00EF1746" w:rsidRDefault="00D92211" w:rsidP="00D92211">
      <w:pPr>
        <w:pStyle w:val="Odstavecseseznamem"/>
        <w:numPr>
          <w:ilvl w:val="0"/>
          <w:numId w:val="1"/>
        </w:numPr>
        <w:spacing w:after="160" w:line="256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F1746">
        <w:rPr>
          <w:rFonts w:ascii="Times New Roman" w:hAnsi="Times New Roman"/>
          <w:b/>
          <w:sz w:val="20"/>
          <w:szCs w:val="20"/>
        </w:rPr>
        <w:t>Ekonomie</w:t>
      </w:r>
      <w:r w:rsidRPr="00EF1746">
        <w:rPr>
          <w:rFonts w:ascii="Times New Roman" w:hAnsi="Times New Roman"/>
          <w:sz w:val="20"/>
          <w:szCs w:val="20"/>
        </w:rPr>
        <w:t xml:space="preserve"> </w:t>
      </w:r>
      <w:r w:rsidRPr="00EF1746">
        <w:rPr>
          <w:rFonts w:ascii="Times New Roman" w:hAnsi="Times New Roman"/>
          <w:i/>
          <w:sz w:val="20"/>
          <w:szCs w:val="20"/>
        </w:rPr>
        <w:t>(rozsah je dán předměty Mikroekonomie II, Makroekonomie II)</w:t>
      </w:r>
    </w:p>
    <w:p w14:paraId="47C8E2FC" w14:textId="77777777" w:rsidR="00D92211" w:rsidRPr="00EF1746" w:rsidRDefault="00D92211" w:rsidP="00D92211">
      <w:pPr>
        <w:pStyle w:val="Odstavecseseznamem"/>
        <w:numPr>
          <w:ilvl w:val="0"/>
          <w:numId w:val="1"/>
        </w:numPr>
        <w:spacing w:after="160" w:line="256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F1746">
        <w:rPr>
          <w:rFonts w:ascii="Times New Roman" w:hAnsi="Times New Roman"/>
          <w:b/>
          <w:sz w:val="20"/>
          <w:szCs w:val="20"/>
        </w:rPr>
        <w:t xml:space="preserve">Daně a účetnictví </w:t>
      </w:r>
      <w:r w:rsidRPr="00EF1746">
        <w:rPr>
          <w:rFonts w:ascii="Times New Roman" w:hAnsi="Times New Roman"/>
          <w:i/>
          <w:sz w:val="20"/>
          <w:szCs w:val="20"/>
        </w:rPr>
        <w:t xml:space="preserve">(rozsah je dán </w:t>
      </w:r>
      <w:r>
        <w:rPr>
          <w:rFonts w:ascii="Times New Roman" w:hAnsi="Times New Roman"/>
          <w:i/>
          <w:sz w:val="20"/>
          <w:szCs w:val="20"/>
        </w:rPr>
        <w:t xml:space="preserve">klíčovými okruhy z </w:t>
      </w:r>
      <w:r w:rsidRPr="00EF1746">
        <w:rPr>
          <w:rFonts w:ascii="Times New Roman" w:hAnsi="Times New Roman"/>
          <w:i/>
          <w:sz w:val="20"/>
          <w:szCs w:val="20"/>
        </w:rPr>
        <w:t>předmět</w:t>
      </w:r>
      <w:r>
        <w:rPr>
          <w:rFonts w:ascii="Times New Roman" w:hAnsi="Times New Roman"/>
          <w:i/>
          <w:sz w:val="20"/>
          <w:szCs w:val="20"/>
        </w:rPr>
        <w:t>ů</w:t>
      </w:r>
      <w:r w:rsidRPr="00EF1746">
        <w:rPr>
          <w:rFonts w:ascii="Times New Roman" w:hAnsi="Times New Roman"/>
          <w:i/>
          <w:sz w:val="20"/>
          <w:szCs w:val="20"/>
        </w:rPr>
        <w:t xml:space="preserve"> </w:t>
      </w:r>
      <w:r>
        <w:rPr>
          <w:rFonts w:ascii="Times New Roman" w:hAnsi="Times New Roman"/>
          <w:i/>
          <w:sz w:val="20"/>
          <w:szCs w:val="20"/>
        </w:rPr>
        <w:t xml:space="preserve">profilujícího základu </w:t>
      </w:r>
      <w:r w:rsidRPr="00EF1746">
        <w:rPr>
          <w:rFonts w:ascii="Times New Roman" w:hAnsi="Times New Roman"/>
          <w:i/>
          <w:sz w:val="20"/>
          <w:szCs w:val="20"/>
        </w:rPr>
        <w:t>Mezinárodní účetní standardy, Daňová soustava a finanční právo)</w:t>
      </w:r>
    </w:p>
    <w:p w14:paraId="00B8A9FA" w14:textId="77777777" w:rsidR="00D92211" w:rsidRPr="00FC2C7A" w:rsidRDefault="00D92211" w:rsidP="00D92211">
      <w:pPr>
        <w:pStyle w:val="Odstavecseseznamem"/>
        <w:numPr>
          <w:ilvl w:val="0"/>
          <w:numId w:val="1"/>
        </w:numPr>
        <w:spacing w:after="160" w:line="259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EF1746">
        <w:rPr>
          <w:rFonts w:ascii="Times New Roman" w:hAnsi="Times New Roman"/>
          <w:b/>
          <w:sz w:val="20"/>
          <w:szCs w:val="20"/>
        </w:rPr>
        <w:t>Finance a ekonomika podniku</w:t>
      </w:r>
      <w:r w:rsidRPr="00EF1746">
        <w:rPr>
          <w:rFonts w:ascii="Times New Roman" w:hAnsi="Times New Roman"/>
          <w:sz w:val="20"/>
          <w:szCs w:val="20"/>
        </w:rPr>
        <w:t xml:space="preserve"> </w:t>
      </w:r>
      <w:r w:rsidRPr="00EF1746">
        <w:rPr>
          <w:rFonts w:ascii="Times New Roman" w:hAnsi="Times New Roman"/>
          <w:i/>
          <w:sz w:val="20"/>
          <w:szCs w:val="20"/>
        </w:rPr>
        <w:t xml:space="preserve">(rozsah je dán </w:t>
      </w:r>
      <w:r>
        <w:rPr>
          <w:rFonts w:ascii="Times New Roman" w:hAnsi="Times New Roman"/>
          <w:i/>
          <w:sz w:val="20"/>
          <w:szCs w:val="20"/>
        </w:rPr>
        <w:t xml:space="preserve">klíčovými okruhy z </w:t>
      </w:r>
      <w:r w:rsidRPr="00EF1746">
        <w:rPr>
          <w:rFonts w:ascii="Times New Roman" w:hAnsi="Times New Roman"/>
          <w:i/>
          <w:sz w:val="20"/>
          <w:szCs w:val="20"/>
        </w:rPr>
        <w:t>předmět</w:t>
      </w:r>
      <w:r>
        <w:rPr>
          <w:rFonts w:ascii="Times New Roman" w:hAnsi="Times New Roman"/>
          <w:i/>
          <w:sz w:val="20"/>
          <w:szCs w:val="20"/>
        </w:rPr>
        <w:t>ů</w:t>
      </w:r>
      <w:r w:rsidRPr="00EF1746">
        <w:rPr>
          <w:rFonts w:ascii="Times New Roman" w:hAnsi="Times New Roman"/>
          <w:i/>
          <w:sz w:val="20"/>
          <w:szCs w:val="20"/>
        </w:rPr>
        <w:t xml:space="preserve"> </w:t>
      </w:r>
      <w:r>
        <w:rPr>
          <w:rFonts w:ascii="Times New Roman" w:hAnsi="Times New Roman"/>
          <w:i/>
          <w:sz w:val="20"/>
          <w:szCs w:val="20"/>
        </w:rPr>
        <w:t xml:space="preserve">profilujícího základu </w:t>
      </w:r>
      <w:r w:rsidRPr="00EF1746">
        <w:rPr>
          <w:rFonts w:ascii="Times New Roman" w:hAnsi="Times New Roman"/>
          <w:i/>
          <w:sz w:val="20"/>
          <w:szCs w:val="20"/>
        </w:rPr>
        <w:t>Podnikové finance II, Manažerské účetnictví II, Controlling,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 w:rsidRPr="00EF1746">
        <w:rPr>
          <w:rFonts w:ascii="Times New Roman" w:hAnsi="Times New Roman"/>
          <w:i/>
          <w:sz w:val="20"/>
          <w:szCs w:val="20"/>
        </w:rPr>
        <w:t xml:space="preserve">Oceňování podniku) </w:t>
      </w:r>
    </w:p>
    <w:p w14:paraId="3A6997EE" w14:textId="77777777" w:rsidR="00ED67C3" w:rsidRDefault="00ED67C3" w:rsidP="00ED67C3">
      <w:pPr>
        <w:pStyle w:val="Zkladntext"/>
        <w:ind w:left="22"/>
        <w:rPr>
          <w:b w:val="0"/>
          <w:sz w:val="20"/>
          <w:szCs w:val="20"/>
        </w:rPr>
      </w:pPr>
      <w:r>
        <w:rPr>
          <w:sz w:val="20"/>
          <w:szCs w:val="20"/>
        </w:rPr>
        <w:t>Specializace Finanční kontrola</w:t>
      </w:r>
    </w:p>
    <w:p w14:paraId="0F6502C3" w14:textId="77777777" w:rsidR="00ED67C3" w:rsidRDefault="00ED67C3" w:rsidP="00ED67C3">
      <w:pPr>
        <w:pStyle w:val="Odstavecseseznamem"/>
        <w:numPr>
          <w:ilvl w:val="0"/>
          <w:numId w:val="3"/>
        </w:numPr>
        <w:spacing w:after="160" w:line="254" w:lineRule="auto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Ekonomie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i/>
          <w:sz w:val="20"/>
          <w:szCs w:val="20"/>
        </w:rPr>
        <w:t>(rozsah je dán předměty Mikroekonomie II, Makroekonomie II)</w:t>
      </w:r>
    </w:p>
    <w:p w14:paraId="3127AC16" w14:textId="60684FB1" w:rsidR="00ED67C3" w:rsidRDefault="00ED67C3" w:rsidP="00ED67C3">
      <w:pPr>
        <w:pStyle w:val="Odstavecseseznamem"/>
        <w:numPr>
          <w:ilvl w:val="0"/>
          <w:numId w:val="3"/>
        </w:numPr>
        <w:spacing w:line="254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Daně a účetnictví </w:t>
      </w:r>
      <w:r>
        <w:rPr>
          <w:rFonts w:ascii="Times New Roman" w:hAnsi="Times New Roman"/>
          <w:i/>
          <w:sz w:val="20"/>
          <w:szCs w:val="20"/>
        </w:rPr>
        <w:t xml:space="preserve">(rozsah je dán </w:t>
      </w:r>
      <w:r w:rsidR="00D92211">
        <w:rPr>
          <w:rFonts w:ascii="Times New Roman" w:hAnsi="Times New Roman"/>
          <w:i/>
          <w:sz w:val="20"/>
          <w:szCs w:val="20"/>
        </w:rPr>
        <w:t xml:space="preserve">klíčovými </w:t>
      </w:r>
      <w:r>
        <w:rPr>
          <w:rFonts w:ascii="Times New Roman" w:hAnsi="Times New Roman"/>
          <w:i/>
          <w:sz w:val="20"/>
          <w:szCs w:val="20"/>
        </w:rPr>
        <w:t xml:space="preserve">okruhy </w:t>
      </w:r>
      <w:r w:rsidR="00D92211">
        <w:rPr>
          <w:rFonts w:ascii="Times New Roman" w:hAnsi="Times New Roman"/>
          <w:i/>
          <w:sz w:val="20"/>
          <w:szCs w:val="20"/>
        </w:rPr>
        <w:t xml:space="preserve">z </w:t>
      </w:r>
      <w:r>
        <w:rPr>
          <w:rFonts w:ascii="Times New Roman" w:hAnsi="Times New Roman"/>
          <w:i/>
          <w:sz w:val="20"/>
          <w:szCs w:val="20"/>
        </w:rPr>
        <w:t>předmětů profilujícího základu Mezinárodní účetní standardy, Daňová soustava a finanční právo, Účetní výkaznictví a audit)</w:t>
      </w:r>
    </w:p>
    <w:p w14:paraId="5A019923" w14:textId="2D33F01A" w:rsidR="00ED67C3" w:rsidRDefault="00ED67C3" w:rsidP="00ED67C3">
      <w:pPr>
        <w:pStyle w:val="Zkladntext"/>
        <w:numPr>
          <w:ilvl w:val="0"/>
          <w:numId w:val="3"/>
        </w:numPr>
        <w:jc w:val="both"/>
        <w:rPr>
          <w:b w:val="0"/>
          <w:bCs w:val="0"/>
          <w:i/>
          <w:iCs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Finance a finanční kontrola </w:t>
      </w:r>
      <w:r>
        <w:rPr>
          <w:b w:val="0"/>
          <w:bCs w:val="0"/>
          <w:i/>
          <w:iCs/>
          <w:color w:val="000000"/>
          <w:sz w:val="20"/>
          <w:szCs w:val="20"/>
        </w:rPr>
        <w:t xml:space="preserve">(rozsah je dán </w:t>
      </w:r>
      <w:r w:rsidR="00D92211">
        <w:rPr>
          <w:b w:val="0"/>
          <w:bCs w:val="0"/>
          <w:i/>
          <w:iCs/>
          <w:color w:val="000000"/>
          <w:sz w:val="20"/>
          <w:szCs w:val="20"/>
        </w:rPr>
        <w:t>klíčovými</w:t>
      </w:r>
      <w:r>
        <w:rPr>
          <w:b w:val="0"/>
          <w:bCs w:val="0"/>
          <w:i/>
          <w:iCs/>
          <w:color w:val="000000"/>
          <w:sz w:val="20"/>
          <w:szCs w:val="20"/>
        </w:rPr>
        <w:t xml:space="preserve"> okruhy </w:t>
      </w:r>
      <w:r w:rsidR="00D92211">
        <w:rPr>
          <w:b w:val="0"/>
          <w:bCs w:val="0"/>
          <w:i/>
          <w:iCs/>
          <w:color w:val="000000"/>
          <w:sz w:val="20"/>
          <w:szCs w:val="20"/>
        </w:rPr>
        <w:t xml:space="preserve">z </w:t>
      </w:r>
      <w:r>
        <w:rPr>
          <w:b w:val="0"/>
          <w:bCs w:val="0"/>
          <w:i/>
          <w:iCs/>
          <w:color w:val="000000"/>
          <w:sz w:val="20"/>
          <w:szCs w:val="20"/>
        </w:rPr>
        <w:t>předmětů profilujícího základu Podnikové finance II, Hospodaření nepodnikatelských organizací, Controlling, Finanční kontrola ve veřejné správě)</w:t>
      </w:r>
    </w:p>
    <w:p w14:paraId="0A5CC90E" w14:textId="77777777" w:rsidR="00ED67C3" w:rsidRDefault="00ED67C3" w:rsidP="00ED67C3">
      <w:pPr>
        <w:pStyle w:val="Zkladntext"/>
        <w:ind w:left="22"/>
        <w:rPr>
          <w:i/>
          <w:sz w:val="20"/>
          <w:szCs w:val="20"/>
        </w:rPr>
      </w:pPr>
    </w:p>
    <w:p w14:paraId="2499E2CC" w14:textId="77777777" w:rsidR="00ED67C3" w:rsidRDefault="00ED67C3" w:rsidP="00ED67C3">
      <w:pPr>
        <w:pStyle w:val="Zkladntext"/>
        <w:ind w:left="22"/>
        <w:rPr>
          <w:b w:val="0"/>
          <w:sz w:val="20"/>
          <w:szCs w:val="20"/>
        </w:rPr>
      </w:pPr>
      <w:r>
        <w:rPr>
          <w:sz w:val="20"/>
          <w:szCs w:val="20"/>
        </w:rPr>
        <w:t>Specializace Finanční trhy a technologie</w:t>
      </w:r>
    </w:p>
    <w:p w14:paraId="600489CA" w14:textId="77777777" w:rsidR="00ED67C3" w:rsidRDefault="00ED67C3" w:rsidP="00ED67C3">
      <w:pPr>
        <w:pStyle w:val="Odstavecseseznamem"/>
        <w:numPr>
          <w:ilvl w:val="0"/>
          <w:numId w:val="4"/>
        </w:numPr>
        <w:spacing w:after="160" w:line="254" w:lineRule="auto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Ekonomie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i/>
          <w:sz w:val="20"/>
          <w:szCs w:val="20"/>
        </w:rPr>
        <w:t>(rozsah je dán předměty Mikroekonomie II, Makroekonomie II)</w:t>
      </w:r>
    </w:p>
    <w:p w14:paraId="2926E20D" w14:textId="78C39B01" w:rsidR="00ED67C3" w:rsidRDefault="00ED67C3" w:rsidP="00ED67C3">
      <w:pPr>
        <w:pStyle w:val="Odstavecseseznamem"/>
        <w:numPr>
          <w:ilvl w:val="0"/>
          <w:numId w:val="4"/>
        </w:numPr>
        <w:spacing w:after="160" w:line="254" w:lineRule="auto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Finance podniku </w:t>
      </w:r>
      <w:r>
        <w:rPr>
          <w:rFonts w:ascii="Times New Roman" w:hAnsi="Times New Roman"/>
          <w:i/>
          <w:sz w:val="20"/>
          <w:szCs w:val="20"/>
        </w:rPr>
        <w:t xml:space="preserve">(rozsah je dán </w:t>
      </w:r>
      <w:r w:rsidR="00F3025E">
        <w:rPr>
          <w:rFonts w:ascii="Times New Roman" w:hAnsi="Times New Roman"/>
          <w:i/>
          <w:sz w:val="20"/>
          <w:szCs w:val="20"/>
        </w:rPr>
        <w:t>klíčovými</w:t>
      </w:r>
      <w:r>
        <w:rPr>
          <w:rFonts w:ascii="Times New Roman" w:hAnsi="Times New Roman"/>
          <w:i/>
          <w:sz w:val="20"/>
          <w:szCs w:val="20"/>
        </w:rPr>
        <w:t xml:space="preserve"> okruhy </w:t>
      </w:r>
      <w:r w:rsidR="00F3025E">
        <w:rPr>
          <w:rFonts w:ascii="Times New Roman" w:hAnsi="Times New Roman"/>
          <w:i/>
          <w:sz w:val="20"/>
          <w:szCs w:val="20"/>
        </w:rPr>
        <w:t xml:space="preserve">z </w:t>
      </w:r>
      <w:r>
        <w:rPr>
          <w:rFonts w:ascii="Times New Roman" w:hAnsi="Times New Roman"/>
          <w:i/>
          <w:sz w:val="20"/>
          <w:szCs w:val="20"/>
        </w:rPr>
        <w:t>předmětů profilujícího základu Podnikové finance II, Oceňování podniku, Mezinárodní finance)</w:t>
      </w:r>
    </w:p>
    <w:p w14:paraId="53BAD421" w14:textId="538497FF" w:rsidR="00ED67C3" w:rsidRDefault="00ED67C3" w:rsidP="00ED67C3">
      <w:pPr>
        <w:pStyle w:val="Odstavecseseznamem"/>
        <w:numPr>
          <w:ilvl w:val="0"/>
          <w:numId w:val="4"/>
        </w:numPr>
        <w:spacing w:after="160" w:line="254" w:lineRule="auto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Finanční trhy a technologie </w:t>
      </w:r>
      <w:r>
        <w:rPr>
          <w:rFonts w:ascii="Times New Roman" w:hAnsi="Times New Roman"/>
          <w:i/>
          <w:sz w:val="20"/>
          <w:szCs w:val="20"/>
        </w:rPr>
        <w:t xml:space="preserve">(rozsah je dán </w:t>
      </w:r>
      <w:r w:rsidR="00F3025E">
        <w:rPr>
          <w:rFonts w:ascii="Times New Roman" w:hAnsi="Times New Roman"/>
          <w:i/>
          <w:sz w:val="20"/>
          <w:szCs w:val="20"/>
        </w:rPr>
        <w:t>klíčovými</w:t>
      </w:r>
      <w:r>
        <w:rPr>
          <w:rFonts w:ascii="Times New Roman" w:hAnsi="Times New Roman"/>
          <w:i/>
          <w:sz w:val="20"/>
          <w:szCs w:val="20"/>
        </w:rPr>
        <w:t xml:space="preserve"> okruhy </w:t>
      </w:r>
      <w:r w:rsidR="00F3025E">
        <w:rPr>
          <w:rFonts w:ascii="Times New Roman" w:hAnsi="Times New Roman"/>
          <w:i/>
          <w:sz w:val="20"/>
          <w:szCs w:val="20"/>
        </w:rPr>
        <w:t xml:space="preserve">z </w:t>
      </w:r>
      <w:r>
        <w:rPr>
          <w:rFonts w:ascii="Times New Roman" w:hAnsi="Times New Roman"/>
          <w:i/>
          <w:sz w:val="20"/>
          <w:szCs w:val="20"/>
        </w:rPr>
        <w:t>předmětů profilujícího základu Portfolio management, Bankovnictví a pojišťovnictví II, Finanční technologie a jejich aplikace)</w:t>
      </w:r>
    </w:p>
    <w:p w14:paraId="4168D3CC" w14:textId="77777777" w:rsidR="00ED67C3" w:rsidRPr="00EB7FCB" w:rsidRDefault="00ED67C3" w:rsidP="00ED67C3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b/>
          <w:i/>
          <w:iCs/>
        </w:rPr>
      </w:pPr>
      <w:r w:rsidRPr="00EB7FCB">
        <w:rPr>
          <w:b/>
          <w:i/>
          <w:iCs/>
        </w:rPr>
        <w:t>Připomínka:</w:t>
      </w:r>
    </w:p>
    <w:p w14:paraId="6D9222D5" w14:textId="77777777" w:rsidR="00ED67C3" w:rsidRPr="00EB7FCB" w:rsidRDefault="00ED67C3" w:rsidP="00ED67C3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i/>
          <w:iCs/>
        </w:rPr>
      </w:pPr>
      <w:r w:rsidRPr="00EB7FCB">
        <w:rPr>
          <w:i/>
          <w:iCs/>
        </w:rPr>
        <w:t xml:space="preserve">Doplnit podrobnější informace o zapojení odborníků z praxe do výuky, doplnit informace o formě a obsahu spolupráce s praxí. </w:t>
      </w:r>
    </w:p>
    <w:p w14:paraId="1A4F2A89" w14:textId="77777777" w:rsidR="00ED67C3" w:rsidRDefault="00ED67C3" w:rsidP="00EB7FCB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b/>
          <w:bCs/>
        </w:rPr>
      </w:pPr>
      <w:r>
        <w:rPr>
          <w:b/>
          <w:bCs/>
        </w:rPr>
        <w:t>Vypořádání připomínky:</w:t>
      </w:r>
    </w:p>
    <w:p w14:paraId="6A1F85A3" w14:textId="77777777" w:rsidR="00ED67C3" w:rsidRDefault="00ED67C3" w:rsidP="00ED67C3">
      <w:pPr>
        <w:pStyle w:val="Normlnweb"/>
        <w:tabs>
          <w:tab w:val="left" w:pos="142"/>
        </w:tabs>
        <w:spacing w:before="0" w:beforeAutospacing="0" w:after="0" w:afterAutospacing="0"/>
        <w:jc w:val="both"/>
      </w:pPr>
      <w:r>
        <w:t>Komentář je uveden v upravené sebehodnotící zprávě v rámci standardu 1.10.</w:t>
      </w:r>
    </w:p>
    <w:p w14:paraId="06F58609" w14:textId="77777777" w:rsidR="00B7755C" w:rsidRDefault="00B7755C" w:rsidP="00ED67C3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b/>
        </w:rPr>
      </w:pPr>
    </w:p>
    <w:p w14:paraId="53D4BA18" w14:textId="0968724C" w:rsidR="00ED67C3" w:rsidRPr="00EB7FCB" w:rsidRDefault="00ED67C3" w:rsidP="00ED67C3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b/>
          <w:i/>
          <w:iCs/>
        </w:rPr>
      </w:pPr>
      <w:r w:rsidRPr="00EB7FCB">
        <w:rPr>
          <w:b/>
          <w:i/>
          <w:iCs/>
        </w:rPr>
        <w:t>Připomínka:</w:t>
      </w:r>
    </w:p>
    <w:p w14:paraId="22F3FC8B" w14:textId="77777777" w:rsidR="00ED67C3" w:rsidRPr="00EB7FCB" w:rsidRDefault="00ED67C3" w:rsidP="00ED67C3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i/>
          <w:iCs/>
        </w:rPr>
      </w:pPr>
      <w:r w:rsidRPr="00EB7FCB">
        <w:rPr>
          <w:i/>
          <w:iCs/>
        </w:rPr>
        <w:t xml:space="preserve">Zvážit zdůraznění role Rady studijního programu ve vztahu k obsahu a charakteru studijního programu, např. zvýšit důraz na zpětnou vazbu od studentů a zástupců </w:t>
      </w:r>
      <w:r w:rsidRPr="00EB7FCB">
        <w:rPr>
          <w:i/>
          <w:iCs/>
        </w:rPr>
        <w:br/>
        <w:t xml:space="preserve">z praxe k charakteru studijního programu. </w:t>
      </w:r>
    </w:p>
    <w:p w14:paraId="052C2176" w14:textId="77777777" w:rsidR="00ED67C3" w:rsidRDefault="00ED67C3" w:rsidP="00EB7FCB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b/>
          <w:bCs/>
        </w:rPr>
      </w:pPr>
      <w:r>
        <w:rPr>
          <w:b/>
          <w:bCs/>
        </w:rPr>
        <w:t>Vypořádání připomínky:</w:t>
      </w:r>
    </w:p>
    <w:p w14:paraId="090C71DB" w14:textId="05D22CB5" w:rsidR="00ED67C3" w:rsidRDefault="00ED67C3" w:rsidP="00ED67C3">
      <w:pPr>
        <w:pStyle w:val="Normlnweb"/>
        <w:tabs>
          <w:tab w:val="left" w:pos="142"/>
        </w:tabs>
        <w:spacing w:before="0" w:beforeAutospacing="0" w:after="0" w:afterAutospacing="0"/>
        <w:jc w:val="both"/>
      </w:pPr>
      <w:r w:rsidRPr="00ED67C3">
        <w:t>Rada studijních programů FaME (dále jen RSP) hraje a vždy hrála při směřování studijní</w:t>
      </w:r>
      <w:r w:rsidR="00B7755C">
        <w:t>ch</w:t>
      </w:r>
      <w:r w:rsidRPr="00ED67C3">
        <w:t xml:space="preserve"> program</w:t>
      </w:r>
      <w:r w:rsidR="00B7755C">
        <w:t>ů</w:t>
      </w:r>
      <w:r w:rsidRPr="00ED67C3">
        <w:t xml:space="preserve"> významnou roli. Jejími členy jsou garanti jednotlivých SP na FaME</w:t>
      </w:r>
      <w:r w:rsidR="00B7755C">
        <w:t>,</w:t>
      </w:r>
      <w:r w:rsidRPr="00ED67C3">
        <w:t xml:space="preserve"> ředitelé ústavů FaME</w:t>
      </w:r>
      <w:r w:rsidR="00B7755C">
        <w:t xml:space="preserve"> a zástupce studentů FaME.</w:t>
      </w:r>
      <w:r w:rsidRPr="00ED67C3">
        <w:t xml:space="preserve"> Veškeré návrhy na změny studijní</w:t>
      </w:r>
      <w:r w:rsidR="00B7755C">
        <w:t>ch</w:t>
      </w:r>
      <w:r w:rsidRPr="00ED67C3">
        <w:t xml:space="preserve"> program</w:t>
      </w:r>
      <w:r w:rsidR="00B7755C">
        <w:t>ů</w:t>
      </w:r>
      <w:r w:rsidRPr="00ED67C3">
        <w:t xml:space="preserve"> se projednávají na návrh garantů studijních programů a ředitelů ústavů na RSP a jsou přijímány po konsensu většiny přítomných členů RSP. RSP sleduje a hodnotí příslušný SP, projednává úpravy studijních plánů, kreditového ohodnocení jednotlivých předmětů, obsahové změny jednotlivých předmětů, strukturu povinně volitelných předmětů, </w:t>
      </w:r>
      <w:r w:rsidR="00B7755C">
        <w:t xml:space="preserve">garanty a přednášející u jednotlivých předmětů, </w:t>
      </w:r>
      <w:r w:rsidRPr="00ED67C3">
        <w:t>schvaluje okruhy ke státním závěrečným zkouškám, předsedy, místopředsedy a členy komisí ke státním závěrečným zkouškám</w:t>
      </w:r>
      <w:r w:rsidR="00B7755C">
        <w:t xml:space="preserve"> </w:t>
      </w:r>
      <w:r w:rsidRPr="00ED67C3">
        <w:t>a ostatní podněty a návrhy garantů SP, ředitelů a ostatních akademických pracovníků. Jakékoliv změny ve studijních programech FaME nejsou možné bez souhlasného stanoviska RSP.</w:t>
      </w:r>
    </w:p>
    <w:p w14:paraId="3D7884B3" w14:textId="77777777" w:rsidR="00ED67C3" w:rsidRPr="00ED67C3" w:rsidRDefault="00ED67C3" w:rsidP="00ED67C3">
      <w:pPr>
        <w:pStyle w:val="Normlnweb"/>
        <w:tabs>
          <w:tab w:val="left" w:pos="142"/>
        </w:tabs>
        <w:spacing w:before="0" w:beforeAutospacing="0" w:after="0" w:afterAutospacing="0"/>
        <w:jc w:val="both"/>
      </w:pPr>
    </w:p>
    <w:p w14:paraId="53878BF6" w14:textId="10B36C0B" w:rsidR="00ED67C3" w:rsidRPr="00ED67C3" w:rsidRDefault="00ED67C3" w:rsidP="00ED67C3">
      <w:pPr>
        <w:pStyle w:val="Normlnweb"/>
        <w:tabs>
          <w:tab w:val="left" w:pos="142"/>
        </w:tabs>
        <w:spacing w:before="0" w:beforeAutospacing="0" w:after="0" w:afterAutospacing="0"/>
        <w:jc w:val="both"/>
      </w:pPr>
      <w:r w:rsidRPr="00ED67C3">
        <w:t xml:space="preserve">FaME dbá na hodnocení výuky, které probíhá každý semestr elektronickou formou přes IS Portál a každý ředitel ústavu přihlíží k výsledkům a připomínkám a zohledňuje je společně s </w:t>
      </w:r>
      <w:r w:rsidRPr="00ED67C3">
        <w:lastRenderedPageBreak/>
        <w:t xml:space="preserve">jednotlivými garanty předmětů v budoucnu v jednotlivých předmětech tak, aby bylo dosaženo co možná nejvyšší </w:t>
      </w:r>
      <w:r w:rsidR="00B7755C">
        <w:t xml:space="preserve">kvalitativní </w:t>
      </w:r>
      <w:r w:rsidRPr="00ED67C3">
        <w:t xml:space="preserve">úrovně výuky v daných předmětech. Tzn., že výsledky hodnocení výuky se každý akademický rok promítají do obsahové nebo organizační náplně jednotlivých předmětů. </w:t>
      </w:r>
    </w:p>
    <w:p w14:paraId="39FA59AF" w14:textId="5D3E91D8" w:rsidR="00ED67C3" w:rsidRDefault="00ED67C3" w:rsidP="00F3025E">
      <w:pPr>
        <w:pStyle w:val="Normlnweb"/>
        <w:tabs>
          <w:tab w:val="left" w:pos="142"/>
        </w:tabs>
        <w:spacing w:before="0" w:beforeAutospacing="0" w:after="0" w:afterAutospacing="0"/>
        <w:jc w:val="both"/>
      </w:pPr>
      <w:r w:rsidRPr="00ED67C3">
        <w:t>Zpětná vazba a názory zástupců praxe byly již zohledněny při přípravě tohoto návrhu akreditace MSP Finance, což je popsáno ve standardu 1.11 sebehodnotící zprávy</w:t>
      </w:r>
      <w:r w:rsidR="00F3025E">
        <w:t>. V průběhu realizace SP bude se zástupci praxe průběžně komunikováno a zohledněny budou rovněž výsledky průzkumu u zaměstnavatelů, které organizuje UTB (projednáním v RSP s účastí garanta SP).</w:t>
      </w:r>
    </w:p>
    <w:p w14:paraId="2B757721" w14:textId="77777777" w:rsidR="00F3025E" w:rsidRDefault="00F3025E" w:rsidP="00ED67C3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b/>
        </w:rPr>
      </w:pPr>
    </w:p>
    <w:p w14:paraId="544F675D" w14:textId="6CA94614" w:rsidR="00ED67C3" w:rsidRDefault="00ED67C3" w:rsidP="00ED67C3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>Připomínka:</w:t>
      </w:r>
    </w:p>
    <w:p w14:paraId="313AB8F6" w14:textId="34D68FE2" w:rsidR="00EB7FCB" w:rsidRPr="00EB7FCB" w:rsidRDefault="00ED67C3" w:rsidP="00EB7FCB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i/>
          <w:iCs/>
        </w:rPr>
      </w:pPr>
      <w:r w:rsidRPr="00EB7FCB">
        <w:rPr>
          <w:i/>
          <w:iCs/>
        </w:rPr>
        <w:t xml:space="preserve">Okomentovat v sebehodnotící zprávě výrazné shody z hlediska řazení předmětů mezi jednotlivými specializacemi, zda je v souladu se standardy akreditace SP. </w:t>
      </w:r>
    </w:p>
    <w:p w14:paraId="197FFFA2" w14:textId="301859D3" w:rsidR="00ED67C3" w:rsidRPr="00EB7FCB" w:rsidRDefault="00ED67C3" w:rsidP="00EB7FCB">
      <w:pPr>
        <w:pStyle w:val="Normlnweb"/>
        <w:tabs>
          <w:tab w:val="left" w:pos="142"/>
        </w:tabs>
        <w:spacing w:before="0" w:beforeAutospacing="0" w:after="0" w:afterAutospacing="0"/>
        <w:jc w:val="both"/>
      </w:pPr>
      <w:r>
        <w:rPr>
          <w:b/>
          <w:bCs/>
        </w:rPr>
        <w:t>Vypořádání připomínky:</w:t>
      </w:r>
    </w:p>
    <w:p w14:paraId="5E7EB2D5" w14:textId="77777777" w:rsidR="00ED67C3" w:rsidRDefault="00ED67C3" w:rsidP="00EB7FCB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 rámci standardu 2.12 v sebehodnotící zprávě byly doplněny informace z hlediska členění předmětů a jejich zařazení v jednotlivých specializacích. Studijní plán magisterského studijního programu Finance je rozdělen do čtyř základních částí (využívá strukturu běžné praxe řazení předmětů na FaME UTB ve Zlíně): </w:t>
      </w:r>
    </w:p>
    <w:p w14:paraId="3D9F6C12" w14:textId="77777777" w:rsidR="00ED67C3" w:rsidRDefault="00ED67C3" w:rsidP="00ED67C3">
      <w:pPr>
        <w:numPr>
          <w:ilvl w:val="0"/>
          <w:numId w:val="5"/>
        </w:numPr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Povinné předměty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společné třem specializacím</w:t>
      </w:r>
    </w:p>
    <w:p w14:paraId="2801CE73" w14:textId="3DDE65D0" w:rsidR="00ED67C3" w:rsidRPr="00E34FA5" w:rsidRDefault="00ED67C3" w:rsidP="00E34FA5">
      <w:pPr>
        <w:pStyle w:val="Odstavecseseznamem"/>
        <w:spacing w:before="12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Absolvováním povinných předmětů získá student 70 kreditů</w:t>
      </w:r>
      <w:r w:rsidR="00E34FA5">
        <w:rPr>
          <w:rFonts w:ascii="Times New Roman" w:hAnsi="Times New Roman"/>
          <w:sz w:val="24"/>
          <w:szCs w:val="24"/>
        </w:rPr>
        <w:t xml:space="preserve">, tj. 58 % z celkového počtu kreditů, což je v souladu s doporučenými postupy pro tvorbu studijních programů. </w:t>
      </w:r>
    </w:p>
    <w:p w14:paraId="6859D86F" w14:textId="2B77BB6E" w:rsidR="00ED67C3" w:rsidRDefault="00ED67C3" w:rsidP="00ED67C3">
      <w:pPr>
        <w:pStyle w:val="Odstavecseseznamem"/>
        <w:spacing w:before="120" w:after="12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2) Povinné předměty specializační </w:t>
      </w:r>
    </w:p>
    <w:p w14:paraId="59D0FF2D" w14:textId="77777777" w:rsidR="00ED67C3" w:rsidRDefault="00ED67C3" w:rsidP="00ED67C3">
      <w:pPr>
        <w:pStyle w:val="Odstavecseseznamem"/>
        <w:spacing w:before="12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sz w:val="24"/>
          <w:szCs w:val="24"/>
        </w:rPr>
        <w:t>Specializace Finance podniku</w:t>
      </w:r>
      <w:r>
        <w:rPr>
          <w:rFonts w:ascii="Times New Roman" w:hAnsi="Times New Roman"/>
          <w:sz w:val="24"/>
          <w:szCs w:val="24"/>
        </w:rPr>
        <w:t xml:space="preserve">: </w:t>
      </w:r>
    </w:p>
    <w:p w14:paraId="41DA4DEB" w14:textId="4CEEE8BD" w:rsidR="00ED67C3" w:rsidRDefault="00ED67C3" w:rsidP="00ED67C3">
      <w:pPr>
        <w:pStyle w:val="Odstavecseseznamem"/>
        <w:spacing w:before="12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Absolvováním povinných specializačních předmětů získá student 40 kreditů</w:t>
      </w:r>
      <w:r w:rsidR="003269C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 celkového počtu kreditů, </w:t>
      </w:r>
      <w:r w:rsidR="00E34FA5">
        <w:rPr>
          <w:rFonts w:ascii="Times New Roman" w:hAnsi="Times New Roman"/>
          <w:sz w:val="24"/>
          <w:szCs w:val="24"/>
        </w:rPr>
        <w:t>tj. 33 %</w:t>
      </w:r>
      <w:r w:rsidR="004A38BC">
        <w:rPr>
          <w:rFonts w:ascii="Times New Roman" w:hAnsi="Times New Roman"/>
          <w:sz w:val="24"/>
          <w:szCs w:val="24"/>
        </w:rPr>
        <w:t>.</w:t>
      </w:r>
    </w:p>
    <w:p w14:paraId="6EEC11C6" w14:textId="77777777" w:rsidR="00ED67C3" w:rsidRDefault="00ED67C3" w:rsidP="00ED67C3">
      <w:pPr>
        <w:pStyle w:val="Odstavecseseznamem"/>
        <w:spacing w:before="12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b. </w:t>
      </w:r>
      <w:r>
        <w:rPr>
          <w:rFonts w:ascii="Times New Roman" w:hAnsi="Times New Roman"/>
          <w:b/>
          <w:sz w:val="24"/>
          <w:szCs w:val="24"/>
        </w:rPr>
        <w:t xml:space="preserve">Specializace Finanční kontrola: </w:t>
      </w:r>
    </w:p>
    <w:p w14:paraId="7172DE39" w14:textId="04637F71" w:rsidR="00ED67C3" w:rsidRDefault="00ED67C3" w:rsidP="00ED67C3">
      <w:pPr>
        <w:pStyle w:val="Odstavecseseznamem"/>
        <w:spacing w:before="12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Absolvováním povinných specializačních předmětů získá student 37 kreditů, tj. 31 % z celkového počtu kreditů</w:t>
      </w:r>
      <w:r w:rsidR="004A38BC">
        <w:rPr>
          <w:rFonts w:ascii="Times New Roman" w:hAnsi="Times New Roman"/>
          <w:sz w:val="24"/>
          <w:szCs w:val="24"/>
        </w:rPr>
        <w:t>.</w:t>
      </w:r>
    </w:p>
    <w:p w14:paraId="5EC4364D" w14:textId="77777777" w:rsidR="00ED67C3" w:rsidRDefault="00ED67C3" w:rsidP="00ED67C3">
      <w:pPr>
        <w:pStyle w:val="Odstavecseseznamem"/>
        <w:spacing w:before="12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c. </w:t>
      </w:r>
      <w:r>
        <w:rPr>
          <w:rFonts w:ascii="Times New Roman" w:hAnsi="Times New Roman"/>
          <w:b/>
          <w:sz w:val="24"/>
          <w:szCs w:val="24"/>
        </w:rPr>
        <w:t xml:space="preserve">Specializace Finanční trhy a technologie: </w:t>
      </w:r>
    </w:p>
    <w:p w14:paraId="24A2A0D1" w14:textId="265A94C4" w:rsidR="00ED67C3" w:rsidRPr="004A38BC" w:rsidRDefault="00ED67C3" w:rsidP="00EB7FCB">
      <w:pPr>
        <w:pStyle w:val="Odstavecseseznamem"/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Absolvováním povinných specializačních předmětů získá student 37 kreditů, tj. 31 % </w:t>
      </w:r>
      <w:r w:rsidRPr="004A38BC">
        <w:rPr>
          <w:rFonts w:ascii="Times New Roman" w:hAnsi="Times New Roman" w:cs="Times New Roman"/>
          <w:sz w:val="24"/>
          <w:szCs w:val="24"/>
        </w:rPr>
        <w:t>z celkového počtu kreditů</w:t>
      </w:r>
      <w:r w:rsidR="004A38BC" w:rsidRPr="004A38BC">
        <w:rPr>
          <w:rFonts w:ascii="Times New Roman" w:hAnsi="Times New Roman" w:cs="Times New Roman"/>
          <w:sz w:val="24"/>
          <w:szCs w:val="24"/>
        </w:rPr>
        <w:t>.</w:t>
      </w:r>
    </w:p>
    <w:p w14:paraId="0897AF17" w14:textId="1F78BB0B" w:rsidR="004A38BC" w:rsidRPr="004A38BC" w:rsidRDefault="004A38BC" w:rsidP="00EB7FCB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4A38BC">
        <w:rPr>
          <w:rFonts w:ascii="Times New Roman" w:hAnsi="Times New Roman"/>
          <w:sz w:val="24"/>
          <w:szCs w:val="24"/>
        </w:rPr>
        <w:t>Absolvováním společných povinných předmětů a povinných specializačních předmětů získá student celkem 110 kreditů ve specializaci Finance podniku, 107 kreditů ve specializaci Finanční kontrola a 107 kreditů ve specializaci Finanční trhy a technologie.</w:t>
      </w:r>
    </w:p>
    <w:p w14:paraId="237A220B" w14:textId="77777777" w:rsidR="004A38BC" w:rsidRPr="004A38BC" w:rsidRDefault="004A38BC" w:rsidP="00EB7FCB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4A38BC">
        <w:rPr>
          <w:rFonts w:ascii="Times New Roman" w:hAnsi="Times New Roman"/>
          <w:sz w:val="24"/>
          <w:szCs w:val="24"/>
        </w:rPr>
        <w:t xml:space="preserve">Uvedená struktura předmětů odpovídá doporučeným postupům pro přípravu studijních programů dle NAÚ. </w:t>
      </w:r>
    </w:p>
    <w:p w14:paraId="0E0030A5" w14:textId="4CD0B8DE" w:rsidR="00ED67C3" w:rsidRDefault="00ED67C3" w:rsidP="00ED67C3">
      <w:pPr>
        <w:numPr>
          <w:ilvl w:val="0"/>
          <w:numId w:val="6"/>
        </w:numPr>
        <w:spacing w:before="120" w:after="12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Povinně volitelné předměty</w:t>
      </w:r>
      <w:r w:rsidR="00CE4FC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– </w:t>
      </w:r>
      <w:r>
        <w:rPr>
          <w:rFonts w:ascii="Times New Roman" w:hAnsi="Times New Roman"/>
          <w:bCs/>
          <w:sz w:val="24"/>
          <w:szCs w:val="24"/>
        </w:rPr>
        <w:t>v rámci daného počtu kreditů u jednotlivých specializací (6-8 % z celkového počtu kreditů u prezenční formy studia a 8-10 % u kombinované formy studia) je umožněno studentům vybrat si z nabízené sady předmětů, přičemž předměty rozšiřují buď znalostní základnu nebo zvyšují dovednosti, či kompetence studenta</w:t>
      </w:r>
      <w:r w:rsidR="00DB1639">
        <w:rPr>
          <w:rFonts w:ascii="Times New Roman" w:hAnsi="Times New Roman"/>
          <w:bCs/>
          <w:sz w:val="24"/>
          <w:szCs w:val="24"/>
        </w:rPr>
        <w:t xml:space="preserve"> (z předmětů jiných specializací SP Finance nebo dalších SP nabízených na FaME, vhodných pro rozšíření znalostí studenta)</w:t>
      </w:r>
      <w:r>
        <w:rPr>
          <w:rFonts w:ascii="Times New Roman" w:hAnsi="Times New Roman"/>
          <w:bCs/>
          <w:sz w:val="24"/>
          <w:szCs w:val="24"/>
        </w:rPr>
        <w:t xml:space="preserve">. </w:t>
      </w:r>
    </w:p>
    <w:p w14:paraId="3856DEB1" w14:textId="77777777" w:rsidR="00ED67C3" w:rsidRDefault="00ED67C3" w:rsidP="00ED67C3">
      <w:pPr>
        <w:spacing w:before="120" w:after="120" w:line="240" w:lineRule="auto"/>
        <w:ind w:left="720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77AA0157" w14:textId="77777777" w:rsidR="00ED67C3" w:rsidRDefault="00ED67C3" w:rsidP="00ED67C3">
      <w:pPr>
        <w:numPr>
          <w:ilvl w:val="0"/>
          <w:numId w:val="6"/>
        </w:numPr>
        <w:spacing w:before="120" w:after="12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Volitelné předměty: </w:t>
      </w:r>
      <w:r>
        <w:rPr>
          <w:rFonts w:ascii="Times New Roman" w:hAnsi="Times New Roman"/>
          <w:sz w:val="24"/>
          <w:szCs w:val="24"/>
        </w:rPr>
        <w:t xml:space="preserve">stejná skupina předmětů pro všechny specializace, ze které si studenti vybírají předměty. Student si v rámci bloku volitelných předmětů může zapsat i jakýkoliv jiný předmět z ostatních fakult UTB ve Zlíně, pokud to kapacita předmětu umožňuje. Tato </w:t>
      </w:r>
      <w:r>
        <w:rPr>
          <w:rFonts w:ascii="Times New Roman" w:hAnsi="Times New Roman"/>
          <w:sz w:val="24"/>
          <w:szCs w:val="24"/>
        </w:rPr>
        <w:lastRenderedPageBreak/>
        <w:t xml:space="preserve">skupina předmětů má stanoveno získání min. 3 kreditů v prezenční formě studia (není nabízeno v kombinované formě studia). </w:t>
      </w:r>
    </w:p>
    <w:p w14:paraId="209D4176" w14:textId="77777777" w:rsidR="00EB7FCB" w:rsidRDefault="00EB7FCB" w:rsidP="00ED67C3">
      <w:pPr>
        <w:pStyle w:val="Normlnweb"/>
        <w:tabs>
          <w:tab w:val="left" w:pos="142"/>
        </w:tabs>
        <w:spacing w:before="0" w:beforeAutospacing="0" w:after="0" w:afterAutospacing="0"/>
        <w:jc w:val="both"/>
      </w:pPr>
    </w:p>
    <w:p w14:paraId="081D7A4A" w14:textId="7C09D780" w:rsidR="00ED67C3" w:rsidRDefault="00ED67C3" w:rsidP="00ED67C3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>Připomínka:</w:t>
      </w:r>
    </w:p>
    <w:p w14:paraId="2572CA42" w14:textId="4BE51E5D" w:rsidR="00ED67C3" w:rsidRPr="00EB7FCB" w:rsidRDefault="00ED67C3" w:rsidP="00ED67C3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i/>
          <w:iCs/>
        </w:rPr>
      </w:pPr>
      <w:r w:rsidRPr="00EB7FCB">
        <w:rPr>
          <w:i/>
          <w:iCs/>
        </w:rPr>
        <w:t xml:space="preserve">Doplnit do přílohy E. Sebehodnotící zpráva studijního programu standard 3.2 (Forma studia) a standard 3.3 (Studijní literatura a studijní opory). V rámci obou standardů detailněji popsat stávající připravenost na realizací online/distančních forem výuky </w:t>
      </w:r>
      <w:r w:rsidRPr="00EB7FCB">
        <w:rPr>
          <w:i/>
          <w:iCs/>
        </w:rPr>
        <w:br/>
        <w:t xml:space="preserve">i v rámci prezenčního studia v případě mimořádných událostí, jakými je např. onemocnění COVID-19 (způsob náhrady prezenční výuky, dostupnost online zdrojů, studijních opor a vybavení pro studenty). Zároveň ve standardu 3.3 popsat plán tvorby online přednášek/výuky, který bude obsahovat závazný postup digitalizace všech přednášek a seminářů ve SP v nadcházejících dvou letech, včetně uvedení konkrétních předmětů a termínů, do kdy bude realizována jejich multimediální digitalizace (převedení na online výukové platformy). </w:t>
      </w:r>
    </w:p>
    <w:p w14:paraId="0DAC3FB5" w14:textId="77777777" w:rsidR="00EB7FCB" w:rsidRDefault="00ED67C3" w:rsidP="00EB7FCB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b/>
          <w:bCs/>
        </w:rPr>
      </w:pPr>
      <w:r>
        <w:rPr>
          <w:b/>
          <w:bCs/>
        </w:rPr>
        <w:t>Vypořádání připomínky:</w:t>
      </w:r>
    </w:p>
    <w:p w14:paraId="2933667C" w14:textId="2FCAAF1A" w:rsidR="00ED67C3" w:rsidRPr="00B7755C" w:rsidRDefault="00ED67C3" w:rsidP="00EB7FCB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b/>
          <w:bCs/>
        </w:rPr>
      </w:pPr>
      <w:r>
        <w:t>Komentář je uveden v upravené sebehodnotící zprávě v rámci standardů 3.2. a 3.3.</w:t>
      </w:r>
    </w:p>
    <w:p w14:paraId="33EF7EFC" w14:textId="77777777" w:rsidR="00ED67C3" w:rsidRDefault="00ED67C3" w:rsidP="00ED67C3">
      <w:pPr>
        <w:pStyle w:val="Normlnweb"/>
        <w:tabs>
          <w:tab w:val="left" w:pos="142"/>
        </w:tabs>
        <w:spacing w:before="0" w:beforeAutospacing="0" w:after="0" w:afterAutospacing="0"/>
        <w:jc w:val="both"/>
      </w:pPr>
    </w:p>
    <w:p w14:paraId="1821C70C" w14:textId="77777777" w:rsidR="00ED67C3" w:rsidRDefault="00ED67C3" w:rsidP="00ED67C3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>V rámci aktualizace byly v akreditačním spisu provedeny další změny:</w:t>
      </w:r>
    </w:p>
    <w:p w14:paraId="62DDC9B6" w14:textId="77777777" w:rsidR="00ED67C3" w:rsidRDefault="00ED67C3" w:rsidP="00ED67C3">
      <w:pPr>
        <w:pStyle w:val="Normlnweb"/>
        <w:numPr>
          <w:ilvl w:val="0"/>
          <w:numId w:val="7"/>
        </w:numPr>
        <w:tabs>
          <w:tab w:val="left" w:pos="142"/>
        </w:tabs>
        <w:spacing w:before="0" w:beforeAutospacing="0" w:after="0" w:afterAutospacing="0"/>
        <w:jc w:val="both"/>
        <w:rPr>
          <w:bCs/>
        </w:rPr>
      </w:pPr>
      <w:r>
        <w:rPr>
          <w:bCs/>
        </w:rPr>
        <w:t>prodloužení pracovní smlouvy u Ing. Mojmíra Hampla, Ph.D. do 31.8. 2023 s týdenní pracovní dobou 16 h</w:t>
      </w:r>
    </w:p>
    <w:p w14:paraId="7190275A" w14:textId="4B033965" w:rsidR="00ED67C3" w:rsidRDefault="00ED67C3" w:rsidP="00ED67C3">
      <w:pPr>
        <w:pStyle w:val="Normlnweb"/>
        <w:numPr>
          <w:ilvl w:val="0"/>
          <w:numId w:val="7"/>
        </w:numPr>
        <w:tabs>
          <w:tab w:val="left" w:pos="142"/>
        </w:tabs>
        <w:spacing w:before="0" w:beforeAutospacing="0" w:after="0" w:afterAutospacing="0"/>
        <w:jc w:val="both"/>
        <w:rPr>
          <w:bCs/>
        </w:rPr>
      </w:pPr>
      <w:r>
        <w:rPr>
          <w:bCs/>
        </w:rPr>
        <w:t>změna u výuky předmětu Kvantitativní metody v rozhodování (100 % přednášek Mgr. Alena Kolčavová, Ph.D.), vyjmutí CV RNDr. Bedřicha Zimoly</w:t>
      </w:r>
    </w:p>
    <w:p w14:paraId="55BDC097" w14:textId="5165FDC6" w:rsidR="00DE3454" w:rsidRPr="00DE3454" w:rsidRDefault="00DE3454" w:rsidP="00DE3454">
      <w:pPr>
        <w:pStyle w:val="Normlnweb"/>
        <w:numPr>
          <w:ilvl w:val="0"/>
          <w:numId w:val="7"/>
        </w:numPr>
        <w:tabs>
          <w:tab w:val="left" w:pos="142"/>
        </w:tabs>
        <w:spacing w:before="0" w:beforeAutospacing="0" w:after="0" w:afterAutospacing="0"/>
        <w:jc w:val="both"/>
        <w:rPr>
          <w:bCs/>
        </w:rPr>
      </w:pPr>
      <w:r>
        <w:rPr>
          <w:bCs/>
        </w:rPr>
        <w:t>úprava rozsahu výuky a počtu kreditů u předmětů Finanční laboratoř a Financial Lab</w:t>
      </w:r>
    </w:p>
    <w:p w14:paraId="4242988A" w14:textId="20CE5F30" w:rsidR="00ED67C3" w:rsidRDefault="00ED67C3" w:rsidP="00ED67C3">
      <w:pPr>
        <w:pStyle w:val="Normlnweb"/>
        <w:numPr>
          <w:ilvl w:val="0"/>
          <w:numId w:val="7"/>
        </w:numPr>
        <w:tabs>
          <w:tab w:val="left" w:pos="142"/>
        </w:tabs>
        <w:spacing w:before="0" w:beforeAutospacing="0" w:after="0" w:afterAutospacing="0"/>
        <w:jc w:val="both"/>
        <w:rPr>
          <w:bCs/>
        </w:rPr>
      </w:pPr>
      <w:r>
        <w:rPr>
          <w:bCs/>
        </w:rPr>
        <w:t>změna vyučujícího u předmětu Presentation Skills (Mgr. Igor Drápala) s uvedením jeho CV, vyjmutí CV PhDr. Jany Semotamové</w:t>
      </w:r>
    </w:p>
    <w:p w14:paraId="28266704" w14:textId="0D8DF3B5" w:rsidR="00C90569" w:rsidRDefault="00C90569" w:rsidP="00C90569">
      <w:pPr>
        <w:pStyle w:val="Normlnweb"/>
        <w:numPr>
          <w:ilvl w:val="0"/>
          <w:numId w:val="7"/>
        </w:numPr>
        <w:tabs>
          <w:tab w:val="left" w:pos="142"/>
        </w:tabs>
        <w:spacing w:before="0" w:beforeAutospacing="0" w:after="0" w:afterAutospacing="0"/>
        <w:jc w:val="both"/>
        <w:rPr>
          <w:bCs/>
        </w:rPr>
      </w:pPr>
      <w:r>
        <w:rPr>
          <w:bCs/>
        </w:rPr>
        <w:t>změna vyučujícího u předmětu Business English (Mgr. Igor Drápala) s uvedením jeho CV, vyjmutí CV Mgr. Evy Chmelařové</w:t>
      </w:r>
    </w:p>
    <w:p w14:paraId="389D5456" w14:textId="77777777" w:rsidR="00C90569" w:rsidRDefault="00ED67C3" w:rsidP="00ED67C3">
      <w:pPr>
        <w:pStyle w:val="Normlnweb"/>
        <w:numPr>
          <w:ilvl w:val="0"/>
          <w:numId w:val="7"/>
        </w:numPr>
        <w:tabs>
          <w:tab w:val="left" w:pos="142"/>
        </w:tabs>
        <w:spacing w:before="0" w:beforeAutospacing="0" w:after="0" w:afterAutospacing="0"/>
        <w:jc w:val="both"/>
        <w:rPr>
          <w:bCs/>
        </w:rPr>
      </w:pPr>
      <w:r>
        <w:rPr>
          <w:bCs/>
        </w:rPr>
        <w:t>uvedení nově získaných projektů TA ČR</w:t>
      </w:r>
    </w:p>
    <w:p w14:paraId="1F0258AD" w14:textId="27F5653B" w:rsidR="00C90569" w:rsidRPr="00C90569" w:rsidRDefault="00C90569" w:rsidP="00C90569">
      <w:pPr>
        <w:pStyle w:val="Normlnweb"/>
        <w:numPr>
          <w:ilvl w:val="0"/>
          <w:numId w:val="7"/>
        </w:numPr>
        <w:tabs>
          <w:tab w:val="left" w:pos="142"/>
        </w:tabs>
        <w:spacing w:before="0" w:beforeAutospacing="0" w:after="0" w:afterAutospacing="0"/>
        <w:jc w:val="both"/>
        <w:rPr>
          <w:bCs/>
        </w:rPr>
      </w:pPr>
      <w:r>
        <w:rPr>
          <w:bCs/>
        </w:rPr>
        <w:t>změna návrhu počtu přijímaných studentů ze 100 na 130</w:t>
      </w:r>
      <w:r w:rsidR="00ED67C3">
        <w:rPr>
          <w:bCs/>
        </w:rPr>
        <w:t xml:space="preserve"> </w:t>
      </w:r>
      <w:r>
        <w:rPr>
          <w:bCs/>
        </w:rPr>
        <w:t>(specializace Finance podniku 50, Finanční kontrola 50, Finanční trhy a technologie 30) vzhledem ke zvyšujícímu se zájmu studentů a reálným kapacitám fakulty realizovat výuku v daném SP</w:t>
      </w:r>
    </w:p>
    <w:p w14:paraId="4821784E" w14:textId="77777777" w:rsidR="00EB7FCB" w:rsidRDefault="00EB7FCB" w:rsidP="00EB7FCB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b/>
          <w:color w:val="FF0000"/>
        </w:rPr>
      </w:pPr>
    </w:p>
    <w:p w14:paraId="74D57C60" w14:textId="77777777" w:rsidR="00DB1639" w:rsidRDefault="00DB1639" w:rsidP="00EB7FCB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b/>
          <w:color w:val="FF0000"/>
        </w:rPr>
      </w:pPr>
    </w:p>
    <w:p w14:paraId="623254C0" w14:textId="77777777" w:rsidR="00DB1639" w:rsidRDefault="00DB1639" w:rsidP="00EB7FCB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b/>
          <w:color w:val="FF0000"/>
        </w:rPr>
      </w:pPr>
    </w:p>
    <w:p w14:paraId="173B68D0" w14:textId="77777777" w:rsidR="00DB1639" w:rsidRDefault="00DB1639" w:rsidP="00EB7FCB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b/>
          <w:color w:val="FF0000"/>
        </w:rPr>
      </w:pPr>
    </w:p>
    <w:p w14:paraId="2D6E28DA" w14:textId="77777777" w:rsidR="00DB1639" w:rsidRDefault="00DB1639" w:rsidP="00EB7FCB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b/>
          <w:color w:val="FF0000"/>
        </w:rPr>
      </w:pPr>
    </w:p>
    <w:p w14:paraId="0FF3EB21" w14:textId="77777777" w:rsidR="00DB1639" w:rsidRDefault="00DB1639" w:rsidP="00EB7FCB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b/>
          <w:color w:val="FF0000"/>
        </w:rPr>
      </w:pPr>
    </w:p>
    <w:p w14:paraId="02217736" w14:textId="77777777" w:rsidR="00DB1639" w:rsidRDefault="00DB1639" w:rsidP="00EB7FCB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b/>
          <w:color w:val="FF0000"/>
        </w:rPr>
      </w:pPr>
    </w:p>
    <w:p w14:paraId="33D5C1E4" w14:textId="77777777" w:rsidR="00DB1639" w:rsidRDefault="00DB1639" w:rsidP="00EB7FCB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b/>
          <w:color w:val="FF0000"/>
        </w:rPr>
      </w:pPr>
    </w:p>
    <w:p w14:paraId="768C15A5" w14:textId="77777777" w:rsidR="00DB1639" w:rsidRDefault="00DB1639" w:rsidP="00EB7FCB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b/>
          <w:color w:val="FF0000"/>
        </w:rPr>
      </w:pPr>
    </w:p>
    <w:p w14:paraId="3A0BE132" w14:textId="77777777" w:rsidR="00DB1639" w:rsidRDefault="00DB1639" w:rsidP="00EB7FCB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b/>
          <w:color w:val="FF0000"/>
        </w:rPr>
      </w:pPr>
    </w:p>
    <w:p w14:paraId="2B11BA25" w14:textId="77777777" w:rsidR="00DB1639" w:rsidRDefault="00DB1639" w:rsidP="00EB7FCB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b/>
          <w:color w:val="FF0000"/>
        </w:rPr>
      </w:pPr>
    </w:p>
    <w:p w14:paraId="5615F874" w14:textId="77777777" w:rsidR="00DB1639" w:rsidRDefault="00DB1639" w:rsidP="00EB7FCB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b/>
          <w:color w:val="FF0000"/>
        </w:rPr>
      </w:pPr>
    </w:p>
    <w:p w14:paraId="48CEDB49" w14:textId="77777777" w:rsidR="00DB1639" w:rsidRDefault="00DB1639" w:rsidP="00EB7FCB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b/>
          <w:color w:val="FF0000"/>
        </w:rPr>
      </w:pPr>
    </w:p>
    <w:p w14:paraId="44B3CEFD" w14:textId="77777777" w:rsidR="00DB1639" w:rsidRDefault="00DB1639" w:rsidP="00EB7FCB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b/>
          <w:color w:val="FF0000"/>
        </w:rPr>
      </w:pPr>
    </w:p>
    <w:p w14:paraId="64DE0E4E" w14:textId="77777777" w:rsidR="00DB1639" w:rsidRDefault="00DB1639" w:rsidP="00EB7FCB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b/>
          <w:color w:val="FF0000"/>
        </w:rPr>
      </w:pPr>
    </w:p>
    <w:p w14:paraId="2CEC273A" w14:textId="77777777" w:rsidR="00DB1639" w:rsidRDefault="00DB1639" w:rsidP="00EB7FCB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b/>
          <w:color w:val="FF0000"/>
        </w:rPr>
      </w:pPr>
    </w:p>
    <w:p w14:paraId="59E2D244" w14:textId="77777777" w:rsidR="00DB1639" w:rsidRDefault="00DB1639" w:rsidP="00EB7FCB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b/>
          <w:color w:val="FF0000"/>
        </w:rPr>
      </w:pPr>
    </w:p>
    <w:p w14:paraId="165C104E" w14:textId="77777777" w:rsidR="00DB1639" w:rsidRDefault="00DB1639" w:rsidP="00EB7FCB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b/>
          <w:color w:val="FF0000"/>
        </w:rPr>
      </w:pPr>
    </w:p>
    <w:p w14:paraId="0ABDE29D" w14:textId="77777777" w:rsidR="00DB1639" w:rsidRDefault="00DB1639" w:rsidP="00EB7FCB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b/>
          <w:color w:val="FF0000"/>
        </w:rPr>
      </w:pPr>
    </w:p>
    <w:p w14:paraId="152C3363" w14:textId="77777777" w:rsidR="00DB1639" w:rsidRDefault="00DB1639" w:rsidP="00EB7FCB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b/>
          <w:color w:val="FF0000"/>
        </w:rPr>
      </w:pPr>
    </w:p>
    <w:p w14:paraId="2726B54E" w14:textId="0ADE529A" w:rsidR="00EB7FCB" w:rsidRDefault="00EB7FCB" w:rsidP="00EB7FCB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b/>
          <w:color w:val="FF0000"/>
        </w:rPr>
      </w:pPr>
      <w:bookmarkStart w:id="0" w:name="_GoBack"/>
      <w:bookmarkEnd w:id="0"/>
      <w:r w:rsidRPr="00EB7FCB">
        <w:rPr>
          <w:b/>
          <w:color w:val="FF0000"/>
        </w:rPr>
        <w:lastRenderedPageBreak/>
        <w:t>Studijní program: Finance (</w:t>
      </w:r>
      <w:r>
        <w:rPr>
          <w:b/>
          <w:color w:val="FF0000"/>
        </w:rPr>
        <w:t>anglický</w:t>
      </w:r>
      <w:r w:rsidRPr="00EB7FCB">
        <w:rPr>
          <w:b/>
          <w:color w:val="FF0000"/>
        </w:rPr>
        <w:t xml:space="preserve"> jazyk)</w:t>
      </w:r>
    </w:p>
    <w:p w14:paraId="09AE9289" w14:textId="2F8F9A51" w:rsidR="00EB7FCB" w:rsidRDefault="00EB7FCB" w:rsidP="00EB7FCB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bCs/>
          <w:color w:val="FF0000"/>
        </w:rPr>
      </w:pPr>
      <w:r w:rsidRPr="00EB7FCB">
        <w:rPr>
          <w:bCs/>
          <w:color w:val="FF0000"/>
        </w:rPr>
        <w:t xml:space="preserve">se specializacemi: </w:t>
      </w:r>
      <w:r>
        <w:rPr>
          <w:bCs/>
          <w:color w:val="FF0000"/>
        </w:rPr>
        <w:tab/>
      </w:r>
      <w:r w:rsidRPr="00EB7FCB">
        <w:rPr>
          <w:bCs/>
          <w:color w:val="FF0000"/>
        </w:rPr>
        <w:t xml:space="preserve">Corporate Finance </w:t>
      </w:r>
    </w:p>
    <w:p w14:paraId="6F1D5263" w14:textId="524B5884" w:rsidR="00EB7FCB" w:rsidRPr="00EB7FCB" w:rsidRDefault="00EB7FCB" w:rsidP="00EB7FCB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bCs/>
          <w:color w:val="FF0000"/>
        </w:rPr>
      </w:pPr>
      <w:r>
        <w:rPr>
          <w:bCs/>
          <w:color w:val="FF0000"/>
        </w:rPr>
        <w:tab/>
      </w:r>
      <w:r>
        <w:rPr>
          <w:bCs/>
          <w:color w:val="FF0000"/>
        </w:rPr>
        <w:tab/>
      </w:r>
      <w:r>
        <w:rPr>
          <w:bCs/>
          <w:color w:val="FF0000"/>
        </w:rPr>
        <w:tab/>
      </w:r>
      <w:r>
        <w:rPr>
          <w:bCs/>
          <w:color w:val="FF0000"/>
        </w:rPr>
        <w:tab/>
      </w:r>
      <w:r w:rsidRPr="00EB7FCB">
        <w:rPr>
          <w:bCs/>
          <w:color w:val="FF0000"/>
        </w:rPr>
        <w:t>Financial Markets and Technologies</w:t>
      </w:r>
    </w:p>
    <w:p w14:paraId="0A02C405" w14:textId="06134716" w:rsidR="00EB7FCB" w:rsidRDefault="00EB7FCB"/>
    <w:p w14:paraId="4BD4528E" w14:textId="77777777" w:rsidR="00EB7FCB" w:rsidRDefault="00EB7FCB" w:rsidP="00EB7FCB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>Připomínka:</w:t>
      </w:r>
    </w:p>
    <w:p w14:paraId="2B6FF0D2" w14:textId="77777777" w:rsidR="00EB7FCB" w:rsidRPr="00EB7FCB" w:rsidRDefault="00EB7FCB" w:rsidP="00EB7FCB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i/>
          <w:iCs/>
        </w:rPr>
      </w:pPr>
      <w:r w:rsidRPr="00EB7FCB">
        <w:rPr>
          <w:i/>
          <w:iCs/>
        </w:rPr>
        <w:t xml:space="preserve">Sjednotit obsahovou úroveň zpracování formulářů B-III, v některých případech </w:t>
      </w:r>
      <w:r w:rsidRPr="00EB7FCB">
        <w:rPr>
          <w:i/>
          <w:iCs/>
        </w:rPr>
        <w:br/>
        <w:t xml:space="preserve">do formulářů doplnit více aktuální literaturu. </w:t>
      </w:r>
    </w:p>
    <w:p w14:paraId="00767CF6" w14:textId="77777777" w:rsidR="00EB7FCB" w:rsidRDefault="00EB7FCB" w:rsidP="00EB7FCB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b/>
          <w:bCs/>
        </w:rPr>
      </w:pPr>
      <w:r>
        <w:rPr>
          <w:b/>
          <w:bCs/>
        </w:rPr>
        <w:t>Vypořádání připomínky:</w:t>
      </w:r>
    </w:p>
    <w:p w14:paraId="0A3824E1" w14:textId="076AEBB6" w:rsidR="00EB7FCB" w:rsidRPr="00B81384" w:rsidRDefault="00EB7FCB" w:rsidP="00B81384">
      <w:pPr>
        <w:pStyle w:val="Normlnweb"/>
        <w:tabs>
          <w:tab w:val="left" w:pos="142"/>
        </w:tabs>
        <w:spacing w:before="0" w:beforeAutospacing="0"/>
        <w:jc w:val="both"/>
        <w:rPr>
          <w:b/>
          <w:bCs/>
        </w:rPr>
      </w:pPr>
      <w:r>
        <w:t xml:space="preserve">Karty předmětů ve formuláři B-III byly sjednoceny, literatura ve vybraných předmětech byla zaktualizována. </w:t>
      </w:r>
    </w:p>
    <w:p w14:paraId="26EB7FD1" w14:textId="77777777" w:rsidR="00EB7FCB" w:rsidRDefault="00EB7FCB" w:rsidP="00EB7FCB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>Připomínka:</w:t>
      </w:r>
    </w:p>
    <w:p w14:paraId="3393319E" w14:textId="77777777" w:rsidR="00EB7FCB" w:rsidRDefault="00EB7FCB" w:rsidP="00EB7FCB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b/>
          <w:bCs/>
        </w:rPr>
      </w:pPr>
      <w:r w:rsidRPr="00DE3454">
        <w:rPr>
          <w:i/>
          <w:iCs/>
        </w:rPr>
        <w:t>Okomentovat v sebehodnotící zprávě nižší tvůrčí činnost některých garantů předmětů.</w:t>
      </w:r>
      <w:r>
        <w:t xml:space="preserve"> </w:t>
      </w:r>
      <w:r>
        <w:rPr>
          <w:b/>
          <w:bCs/>
        </w:rPr>
        <w:t>Vypořádání připomínky:</w:t>
      </w:r>
    </w:p>
    <w:p w14:paraId="30E3592F" w14:textId="77777777" w:rsidR="00EB7FCB" w:rsidRDefault="00EB7FCB" w:rsidP="00EB7FCB">
      <w:pPr>
        <w:pStyle w:val="Normlnweb"/>
        <w:tabs>
          <w:tab w:val="left" w:pos="142"/>
        </w:tabs>
        <w:spacing w:before="0" w:beforeAutospacing="0" w:after="0" w:afterAutospacing="0"/>
        <w:jc w:val="both"/>
      </w:pPr>
      <w:r>
        <w:t>Komentář je uveden v upravené sebehodnotící zprávě v rámci standardů 6.1-6.2, 6.8.</w:t>
      </w:r>
    </w:p>
    <w:p w14:paraId="1CE1314D" w14:textId="77777777" w:rsidR="00EB7FCB" w:rsidRDefault="00EB7FCB" w:rsidP="00EB7FCB">
      <w:pPr>
        <w:pStyle w:val="Normlnweb"/>
        <w:tabs>
          <w:tab w:val="left" w:pos="142"/>
        </w:tabs>
        <w:spacing w:before="0" w:beforeAutospacing="0" w:after="0" w:afterAutospacing="0"/>
        <w:jc w:val="both"/>
      </w:pPr>
    </w:p>
    <w:p w14:paraId="062D068E" w14:textId="77777777" w:rsidR="00EB7FCB" w:rsidRDefault="00EB7FCB" w:rsidP="00EB7FCB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>Připomínka:</w:t>
      </w:r>
    </w:p>
    <w:p w14:paraId="0861362E" w14:textId="77777777" w:rsidR="00EB7FCB" w:rsidRDefault="00EB7FCB" w:rsidP="00EB7FCB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b/>
          <w:bCs/>
        </w:rPr>
      </w:pPr>
      <w:r w:rsidRPr="00DE3454">
        <w:rPr>
          <w:i/>
          <w:iCs/>
        </w:rPr>
        <w:t>Zvážit snížení vysoké zátěže garantky studijního programu a několika dalších klíčových akademických pracovníků, popřípadě tuto skutečnost okomentovat v sebehodnotící zprávě.</w:t>
      </w:r>
      <w:r>
        <w:t xml:space="preserve"> </w:t>
      </w:r>
      <w:r>
        <w:rPr>
          <w:b/>
          <w:bCs/>
        </w:rPr>
        <w:t>Vypořádání připomínky:</w:t>
      </w:r>
    </w:p>
    <w:p w14:paraId="146825DB" w14:textId="2BE16B40" w:rsidR="00EB7FCB" w:rsidRDefault="00EB7FCB" w:rsidP="00EB7FCB">
      <w:pPr>
        <w:pStyle w:val="Normlnweb"/>
        <w:tabs>
          <w:tab w:val="left" w:pos="142"/>
        </w:tabs>
        <w:spacing w:before="0" w:beforeAutospacing="0" w:after="0" w:afterAutospacing="0"/>
        <w:jc w:val="both"/>
      </w:pPr>
      <w:r>
        <w:t>Komentář je uveden v upravené sebehodnotící zprávě v rámci standardů 6.1-6.2, 6.8.</w:t>
      </w:r>
    </w:p>
    <w:p w14:paraId="01DC50B1" w14:textId="7C1052FD" w:rsidR="00B81384" w:rsidRDefault="00B81384" w:rsidP="00EB7FCB">
      <w:pPr>
        <w:pStyle w:val="Normlnweb"/>
        <w:tabs>
          <w:tab w:val="left" w:pos="142"/>
        </w:tabs>
        <w:spacing w:before="0" w:beforeAutospacing="0" w:after="0" w:afterAutospacing="0"/>
        <w:jc w:val="both"/>
      </w:pPr>
    </w:p>
    <w:p w14:paraId="296811FC" w14:textId="77777777" w:rsidR="00B81384" w:rsidRDefault="00B81384" w:rsidP="00B81384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>Připomínka:</w:t>
      </w:r>
    </w:p>
    <w:p w14:paraId="2F645CAD" w14:textId="77777777" w:rsidR="00B81384" w:rsidRPr="00DB1639" w:rsidRDefault="00B81384" w:rsidP="00B81384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i/>
          <w:iCs/>
        </w:rPr>
      </w:pPr>
      <w:r w:rsidRPr="00DB1639">
        <w:rPr>
          <w:i/>
          <w:iCs/>
        </w:rPr>
        <w:t xml:space="preserve">Okomentovat v průvodním dopise personální rozdílnost a skladbu předmětů v české </w:t>
      </w:r>
      <w:r w:rsidRPr="00DB1639">
        <w:rPr>
          <w:i/>
          <w:iCs/>
        </w:rPr>
        <w:br/>
        <w:t xml:space="preserve">a anglické verzi studijního programu Finance. </w:t>
      </w:r>
    </w:p>
    <w:p w14:paraId="039985F7" w14:textId="75F2F3A9" w:rsidR="00B81384" w:rsidRDefault="00B81384" w:rsidP="00B81384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b/>
          <w:bCs/>
        </w:rPr>
      </w:pPr>
      <w:r>
        <w:rPr>
          <w:b/>
          <w:bCs/>
        </w:rPr>
        <w:t>Vypořádání připomínky:</w:t>
      </w:r>
    </w:p>
    <w:p w14:paraId="047A8D90" w14:textId="55787174" w:rsidR="00986418" w:rsidRPr="00DB1639" w:rsidRDefault="00DB1639" w:rsidP="00B81384">
      <w:pPr>
        <w:pStyle w:val="Normlnweb"/>
        <w:tabs>
          <w:tab w:val="left" w:pos="142"/>
        </w:tabs>
        <w:spacing w:before="0" w:beforeAutospacing="0" w:after="0" w:afterAutospacing="0"/>
        <w:jc w:val="both"/>
      </w:pPr>
      <w:r w:rsidRPr="00DB1639">
        <w:t>Komentář je obsažen v průvodním dopise.</w:t>
      </w:r>
    </w:p>
    <w:p w14:paraId="16C44621" w14:textId="77777777" w:rsidR="00DB1639" w:rsidRDefault="00DB1639" w:rsidP="00EB7FCB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b/>
        </w:rPr>
      </w:pPr>
    </w:p>
    <w:p w14:paraId="41825C66" w14:textId="172C3A46" w:rsidR="00EB7FCB" w:rsidRDefault="00EB7FCB" w:rsidP="00EB7FCB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>Připomínka:</w:t>
      </w:r>
    </w:p>
    <w:p w14:paraId="411F7E69" w14:textId="77777777" w:rsidR="00EB7FCB" w:rsidRPr="00DE3454" w:rsidRDefault="00EB7FCB" w:rsidP="00EB7FCB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i/>
          <w:iCs/>
        </w:rPr>
      </w:pPr>
      <w:r w:rsidRPr="00DE3454">
        <w:rPr>
          <w:i/>
          <w:iCs/>
        </w:rPr>
        <w:t xml:space="preserve">Upravit vyváženost SZZ ve vztahu k obsahu státnicových předmětů, popřípadě tuto skutečnost okomentovat v sebehodnotící zprávě. </w:t>
      </w:r>
    </w:p>
    <w:p w14:paraId="70415550" w14:textId="77777777" w:rsidR="00EB7FCB" w:rsidRDefault="00EB7FCB" w:rsidP="00EB7FCB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b/>
          <w:bCs/>
        </w:rPr>
      </w:pPr>
      <w:r>
        <w:rPr>
          <w:b/>
          <w:bCs/>
        </w:rPr>
        <w:t>Vypořádání připomínky:</w:t>
      </w:r>
    </w:p>
    <w:p w14:paraId="1572CFBB" w14:textId="77777777" w:rsidR="00EB7FCB" w:rsidRDefault="00EB7FCB" w:rsidP="00EB7FCB">
      <w:pPr>
        <w:pStyle w:val="Normlnweb"/>
        <w:tabs>
          <w:tab w:val="left" w:pos="142"/>
        </w:tabs>
        <w:spacing w:before="0" w:beforeAutospacing="0" w:after="0" w:afterAutospacing="0"/>
        <w:jc w:val="both"/>
      </w:pPr>
      <w:r>
        <w:t xml:space="preserve">Obsah SZZ byl u jednotlivých specializací upraven tak, aby byly jednotlivé tematické okruhy více vyvážené. Současně platí, že se bude u tematických okruhů odrážejících specializaci jednat o </w:t>
      </w:r>
      <w:r w:rsidRPr="00D92211">
        <w:rPr>
          <w:u w:val="single"/>
        </w:rPr>
        <w:t>klíčové</w:t>
      </w:r>
      <w:r>
        <w:t xml:space="preserve"> okruhy z předmětů profilujícího základu.</w:t>
      </w:r>
    </w:p>
    <w:p w14:paraId="70980189" w14:textId="77777777" w:rsidR="00EB7FCB" w:rsidRDefault="00EB7FCB" w:rsidP="00EB7FCB">
      <w:pPr>
        <w:pStyle w:val="Zkladntext"/>
        <w:ind w:left="22"/>
        <w:rPr>
          <w:sz w:val="20"/>
          <w:szCs w:val="20"/>
        </w:rPr>
      </w:pPr>
    </w:p>
    <w:p w14:paraId="127FE559" w14:textId="77777777" w:rsidR="00EB7FCB" w:rsidRDefault="00EB7FCB" w:rsidP="00EB7FCB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D92211">
        <w:rPr>
          <w:rFonts w:ascii="Times New Roman" w:hAnsi="Times New Roman"/>
          <w:sz w:val="24"/>
          <w:szCs w:val="24"/>
        </w:rPr>
        <w:lastRenderedPageBreak/>
        <w:t>Zkouška z odborné problematiky se skládá z odborné rozpravy ze tří základních tematických okruhů</w:t>
      </w:r>
      <w:r>
        <w:rPr>
          <w:rFonts w:ascii="Times New Roman" w:hAnsi="Times New Roman"/>
          <w:sz w:val="24"/>
          <w:szCs w:val="24"/>
        </w:rPr>
        <w:t>:</w:t>
      </w:r>
    </w:p>
    <w:p w14:paraId="4F8E557B" w14:textId="7D6DA673" w:rsidR="00EB7FCB" w:rsidRPr="00D92211" w:rsidRDefault="00EB7FCB" w:rsidP="00EB7FCB">
      <w:pPr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 w:rsidRPr="00D92211">
        <w:rPr>
          <w:rFonts w:ascii="Times New Roman" w:hAnsi="Times New Roman"/>
          <w:b/>
          <w:bCs/>
          <w:sz w:val="20"/>
          <w:szCs w:val="20"/>
        </w:rPr>
        <w:t xml:space="preserve">Specializace </w:t>
      </w:r>
      <w:r w:rsidR="00DE3454">
        <w:rPr>
          <w:rFonts w:ascii="Times New Roman" w:hAnsi="Times New Roman"/>
          <w:b/>
          <w:bCs/>
          <w:sz w:val="20"/>
          <w:szCs w:val="20"/>
        </w:rPr>
        <w:t>Corporate Finance</w:t>
      </w:r>
    </w:p>
    <w:p w14:paraId="245D8919" w14:textId="77777777" w:rsidR="000A13A3" w:rsidRPr="00073CFE" w:rsidRDefault="000A13A3" w:rsidP="000A13A3">
      <w:pPr>
        <w:pStyle w:val="Odstavecseseznamem"/>
        <w:numPr>
          <w:ilvl w:val="0"/>
          <w:numId w:val="1"/>
        </w:numPr>
        <w:spacing w:after="160" w:line="256" w:lineRule="auto"/>
        <w:contextualSpacing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073CFE">
        <w:rPr>
          <w:rFonts w:ascii="Times New Roman" w:hAnsi="Times New Roman"/>
          <w:b/>
          <w:color w:val="000000" w:themeColor="text1"/>
          <w:sz w:val="20"/>
          <w:szCs w:val="20"/>
        </w:rPr>
        <w:t>Economics</w:t>
      </w:r>
      <w:r w:rsidRPr="00073CFE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Pr="00073CFE">
        <w:rPr>
          <w:rFonts w:ascii="Times New Roman" w:hAnsi="Times New Roman"/>
          <w:i/>
          <w:color w:val="000000" w:themeColor="text1"/>
          <w:sz w:val="20"/>
          <w:szCs w:val="20"/>
        </w:rPr>
        <w:t>(rozsah je dán předměty Microeconomics II, Macroeconomics II)</w:t>
      </w:r>
    </w:p>
    <w:p w14:paraId="33614E56" w14:textId="77777777" w:rsidR="000A13A3" w:rsidRPr="00073CFE" w:rsidRDefault="000A13A3" w:rsidP="000A13A3">
      <w:pPr>
        <w:pStyle w:val="Odstavecseseznamem"/>
        <w:numPr>
          <w:ilvl w:val="0"/>
          <w:numId w:val="3"/>
        </w:numPr>
        <w:spacing w:line="256" w:lineRule="auto"/>
        <w:contextualSpacing/>
        <w:jc w:val="both"/>
        <w:rPr>
          <w:rFonts w:ascii="Times New Roman" w:hAnsi="Times New Roman"/>
          <w:i/>
          <w:iCs/>
          <w:color w:val="000000" w:themeColor="text1"/>
          <w:sz w:val="20"/>
          <w:szCs w:val="20"/>
        </w:rPr>
      </w:pPr>
      <w:r w:rsidRPr="00073CFE">
        <w:rPr>
          <w:rFonts w:ascii="Times New Roman" w:hAnsi="Times New Roman"/>
          <w:b/>
          <w:color w:val="000000" w:themeColor="text1"/>
          <w:sz w:val="20"/>
          <w:szCs w:val="20"/>
        </w:rPr>
        <w:t xml:space="preserve">Taxes and Accounting </w:t>
      </w:r>
      <w:r w:rsidRPr="00073CFE">
        <w:rPr>
          <w:rFonts w:ascii="Times New Roman" w:hAnsi="Times New Roman"/>
          <w:i/>
          <w:color w:val="000000" w:themeColor="text1"/>
          <w:sz w:val="20"/>
          <w:szCs w:val="20"/>
        </w:rPr>
        <w:t xml:space="preserve">(rozsah je dán </w:t>
      </w:r>
      <w:r>
        <w:rPr>
          <w:rFonts w:ascii="Times New Roman" w:hAnsi="Times New Roman"/>
          <w:i/>
          <w:color w:val="000000" w:themeColor="text1"/>
          <w:sz w:val="20"/>
          <w:szCs w:val="20"/>
        </w:rPr>
        <w:t>klíčovými okruhy z </w:t>
      </w:r>
      <w:r w:rsidRPr="00073CFE">
        <w:rPr>
          <w:rFonts w:ascii="Times New Roman" w:hAnsi="Times New Roman"/>
          <w:i/>
          <w:color w:val="000000" w:themeColor="text1"/>
          <w:sz w:val="20"/>
          <w:szCs w:val="20"/>
        </w:rPr>
        <w:t>předmět</w:t>
      </w:r>
      <w:r>
        <w:rPr>
          <w:rFonts w:ascii="Times New Roman" w:hAnsi="Times New Roman"/>
          <w:i/>
          <w:color w:val="000000" w:themeColor="text1"/>
          <w:sz w:val="20"/>
          <w:szCs w:val="20"/>
        </w:rPr>
        <w:t>ů profilujícího základu</w:t>
      </w:r>
      <w:r w:rsidRPr="00073CFE">
        <w:rPr>
          <w:rFonts w:ascii="Times New Roman" w:hAnsi="Times New Roman"/>
          <w:i/>
          <w:color w:val="000000" w:themeColor="text1"/>
          <w:sz w:val="20"/>
          <w:szCs w:val="20"/>
        </w:rPr>
        <w:t xml:space="preserve"> </w:t>
      </w:r>
      <w:r w:rsidRPr="00073CFE">
        <w:rPr>
          <w:rFonts w:ascii="Times New Roman" w:hAnsi="Times New Roman"/>
          <w:bCs/>
          <w:i/>
          <w:iCs/>
          <w:color w:val="000000" w:themeColor="text1"/>
          <w:sz w:val="20"/>
          <w:szCs w:val="20"/>
        </w:rPr>
        <w:t>International Accounting Standards, Tax System and Financial Law)</w:t>
      </w:r>
      <w:r w:rsidRPr="00073CFE">
        <w:rPr>
          <w:rFonts w:ascii="Times New Roman" w:hAnsi="Times New Roman"/>
          <w:i/>
          <w:iCs/>
          <w:color w:val="000000" w:themeColor="text1"/>
          <w:sz w:val="20"/>
          <w:szCs w:val="20"/>
        </w:rPr>
        <w:t xml:space="preserve"> </w:t>
      </w:r>
    </w:p>
    <w:p w14:paraId="3707134F" w14:textId="77777777" w:rsidR="000A13A3" w:rsidRPr="00073CFE" w:rsidRDefault="000A13A3" w:rsidP="000A13A3">
      <w:pPr>
        <w:pStyle w:val="Odstavecseseznamem"/>
        <w:numPr>
          <w:ilvl w:val="0"/>
          <w:numId w:val="1"/>
        </w:numPr>
        <w:spacing w:after="160" w:line="259" w:lineRule="auto"/>
        <w:contextualSpacing/>
        <w:jc w:val="both"/>
        <w:rPr>
          <w:rFonts w:ascii="Times New Roman" w:hAnsi="Times New Roman"/>
          <w:i/>
          <w:color w:val="000000" w:themeColor="text1"/>
          <w:sz w:val="20"/>
          <w:szCs w:val="20"/>
        </w:rPr>
      </w:pPr>
      <w:r w:rsidRPr="00073CFE">
        <w:rPr>
          <w:rFonts w:ascii="Times New Roman" w:hAnsi="Times New Roman"/>
          <w:b/>
          <w:color w:val="000000" w:themeColor="text1"/>
          <w:sz w:val="20"/>
          <w:szCs w:val="20"/>
        </w:rPr>
        <w:t>Finance and Business Economics</w:t>
      </w:r>
      <w:r w:rsidRPr="00073CFE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Pr="00073CFE">
        <w:rPr>
          <w:rFonts w:ascii="Times New Roman" w:hAnsi="Times New Roman"/>
          <w:i/>
          <w:color w:val="000000" w:themeColor="text1"/>
          <w:sz w:val="20"/>
          <w:szCs w:val="20"/>
        </w:rPr>
        <w:t xml:space="preserve">(rozsah je dán </w:t>
      </w:r>
      <w:r>
        <w:rPr>
          <w:rFonts w:ascii="Times New Roman" w:hAnsi="Times New Roman"/>
          <w:i/>
          <w:sz w:val="20"/>
          <w:szCs w:val="20"/>
        </w:rPr>
        <w:t xml:space="preserve">klíčovými okruhy z </w:t>
      </w:r>
      <w:r w:rsidRPr="00073CFE">
        <w:rPr>
          <w:rFonts w:ascii="Times New Roman" w:hAnsi="Times New Roman"/>
          <w:i/>
          <w:color w:val="000000" w:themeColor="text1"/>
          <w:sz w:val="20"/>
          <w:szCs w:val="20"/>
        </w:rPr>
        <w:t>předmět</w:t>
      </w:r>
      <w:r>
        <w:rPr>
          <w:rFonts w:ascii="Times New Roman" w:hAnsi="Times New Roman"/>
          <w:i/>
          <w:color w:val="000000" w:themeColor="text1"/>
          <w:sz w:val="20"/>
          <w:szCs w:val="20"/>
        </w:rPr>
        <w:t>ů</w:t>
      </w:r>
      <w:r w:rsidRPr="00073CFE">
        <w:rPr>
          <w:rFonts w:ascii="Times New Roman" w:hAnsi="Times New Roman"/>
          <w:i/>
          <w:color w:val="000000" w:themeColor="text1"/>
          <w:sz w:val="20"/>
          <w:szCs w:val="20"/>
        </w:rPr>
        <w:t xml:space="preserve"> </w:t>
      </w:r>
      <w:r>
        <w:rPr>
          <w:rFonts w:ascii="Times New Roman" w:hAnsi="Times New Roman"/>
          <w:i/>
          <w:sz w:val="20"/>
          <w:szCs w:val="20"/>
        </w:rPr>
        <w:t xml:space="preserve">profilujícího základu </w:t>
      </w:r>
      <w:r w:rsidRPr="00073CFE">
        <w:rPr>
          <w:rFonts w:ascii="Times New Roman" w:hAnsi="Times New Roman"/>
          <w:i/>
          <w:color w:val="000000" w:themeColor="text1"/>
          <w:sz w:val="20"/>
          <w:szCs w:val="20"/>
        </w:rPr>
        <w:t xml:space="preserve">Corporate Finance II, Managerial Accounting II, Controlling, Corporate Valuation) </w:t>
      </w:r>
    </w:p>
    <w:p w14:paraId="5C42F8A2" w14:textId="77777777" w:rsidR="00EB7FCB" w:rsidRPr="000A13A3" w:rsidRDefault="00EB7FCB" w:rsidP="00EB7FCB">
      <w:pPr>
        <w:pStyle w:val="Zkladntext"/>
        <w:ind w:left="22"/>
        <w:rPr>
          <w:i/>
          <w:sz w:val="20"/>
          <w:szCs w:val="20"/>
        </w:rPr>
      </w:pPr>
    </w:p>
    <w:p w14:paraId="10494D00" w14:textId="433A7FAB" w:rsidR="00EB7FCB" w:rsidRPr="000A13A3" w:rsidRDefault="00EB7FCB" w:rsidP="00EB7FCB">
      <w:pPr>
        <w:pStyle w:val="Zkladntext"/>
        <w:ind w:left="22"/>
        <w:rPr>
          <w:b w:val="0"/>
          <w:sz w:val="20"/>
          <w:szCs w:val="20"/>
        </w:rPr>
      </w:pPr>
      <w:r w:rsidRPr="000A13A3">
        <w:rPr>
          <w:sz w:val="20"/>
          <w:szCs w:val="20"/>
        </w:rPr>
        <w:t xml:space="preserve">Specializace </w:t>
      </w:r>
      <w:r w:rsidR="00DE3454" w:rsidRPr="000A13A3">
        <w:rPr>
          <w:sz w:val="20"/>
          <w:szCs w:val="20"/>
        </w:rPr>
        <w:t>Financial Markets and Technologies</w:t>
      </w:r>
    </w:p>
    <w:p w14:paraId="520E9FE0" w14:textId="77777777" w:rsidR="000A13A3" w:rsidRPr="000A13A3" w:rsidRDefault="000A13A3" w:rsidP="000A13A3">
      <w:pPr>
        <w:pStyle w:val="Odstavecseseznamem"/>
        <w:numPr>
          <w:ilvl w:val="0"/>
          <w:numId w:val="4"/>
        </w:numPr>
        <w:spacing w:after="160" w:line="256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A13A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Economics</w:t>
      </w:r>
      <w:r w:rsidRPr="000A13A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0A13A3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(rozsah je dán předměty Microeconomics II, Macroeconomics II)</w:t>
      </w:r>
    </w:p>
    <w:p w14:paraId="6B64C9F9" w14:textId="77777777" w:rsidR="000A13A3" w:rsidRPr="000A13A3" w:rsidRDefault="000A13A3" w:rsidP="000A13A3">
      <w:pPr>
        <w:pStyle w:val="Odstavecseseznamem"/>
        <w:numPr>
          <w:ilvl w:val="0"/>
          <w:numId w:val="4"/>
        </w:numPr>
        <w:spacing w:after="160" w:line="256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A13A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Corporate Finance </w:t>
      </w:r>
      <w:r w:rsidRPr="000A13A3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(rozsah je dán klíčovými okruhy z předmětů Corporate Finance II, Corporate Valuation, International Finance)</w:t>
      </w:r>
    </w:p>
    <w:p w14:paraId="14A0FDF1" w14:textId="4482DCFE" w:rsidR="000A13A3" w:rsidRPr="000A13A3" w:rsidRDefault="000A13A3" w:rsidP="000A13A3">
      <w:pPr>
        <w:pStyle w:val="Odstavecseseznamem"/>
        <w:numPr>
          <w:ilvl w:val="0"/>
          <w:numId w:val="4"/>
        </w:numPr>
        <w:spacing w:after="160" w:line="256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A13A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Financial Markets and Technologies </w:t>
      </w:r>
      <w:r w:rsidRPr="000A13A3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(rozsah je dán </w:t>
      </w:r>
      <w:r w:rsidRPr="000A13A3">
        <w:rPr>
          <w:rFonts w:ascii="Times New Roman" w:hAnsi="Times New Roman" w:cs="Times New Roman"/>
          <w:i/>
          <w:sz w:val="20"/>
          <w:szCs w:val="20"/>
        </w:rPr>
        <w:t xml:space="preserve">klíčovými okruhy z </w:t>
      </w:r>
      <w:r w:rsidRPr="000A13A3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předmětů </w:t>
      </w:r>
      <w:r w:rsidRPr="000A13A3">
        <w:rPr>
          <w:rFonts w:ascii="Times New Roman" w:hAnsi="Times New Roman" w:cs="Times New Roman"/>
          <w:i/>
          <w:sz w:val="20"/>
          <w:szCs w:val="20"/>
        </w:rPr>
        <w:t xml:space="preserve">profilujícího základu </w:t>
      </w:r>
      <w:r w:rsidRPr="000A13A3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Portfolio Management, Banking and Insurance II, Financial Technologies and Applications)</w:t>
      </w:r>
    </w:p>
    <w:p w14:paraId="0A71FD49" w14:textId="77777777" w:rsidR="000A13A3" w:rsidRDefault="000A13A3" w:rsidP="00EB7FCB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b/>
        </w:rPr>
      </w:pPr>
    </w:p>
    <w:p w14:paraId="6CCECB32" w14:textId="4AD93924" w:rsidR="00EB7FCB" w:rsidRDefault="00EB7FCB" w:rsidP="00EB7FCB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>Připomínka:</w:t>
      </w:r>
    </w:p>
    <w:p w14:paraId="54564083" w14:textId="77777777" w:rsidR="00EB7FCB" w:rsidRPr="00DE3454" w:rsidRDefault="00EB7FCB" w:rsidP="00EB7FCB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i/>
          <w:iCs/>
        </w:rPr>
      </w:pPr>
      <w:r w:rsidRPr="00DE3454">
        <w:rPr>
          <w:i/>
          <w:iCs/>
        </w:rPr>
        <w:t xml:space="preserve">Doplnit podrobnější informace o zapojení odborníků z praxe do výuky, doplnit informace o formě a obsahu spolupráce s praxí. </w:t>
      </w:r>
    </w:p>
    <w:p w14:paraId="0BF5CB78" w14:textId="77777777" w:rsidR="00EB7FCB" w:rsidRDefault="00EB7FCB" w:rsidP="00EB7FCB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b/>
          <w:bCs/>
        </w:rPr>
      </w:pPr>
      <w:r>
        <w:rPr>
          <w:b/>
          <w:bCs/>
        </w:rPr>
        <w:t>Vypořádání připomínky:</w:t>
      </w:r>
    </w:p>
    <w:p w14:paraId="6F8B60F4" w14:textId="77777777" w:rsidR="00EB7FCB" w:rsidRDefault="00EB7FCB" w:rsidP="00EB7FCB">
      <w:pPr>
        <w:pStyle w:val="Normlnweb"/>
        <w:tabs>
          <w:tab w:val="left" w:pos="142"/>
        </w:tabs>
        <w:spacing w:before="0" w:beforeAutospacing="0" w:after="0" w:afterAutospacing="0"/>
        <w:jc w:val="both"/>
      </w:pPr>
      <w:r>
        <w:t>Komentář je uveden v upravené sebehodnotící zprávě v rámci standardu 1.10.</w:t>
      </w:r>
    </w:p>
    <w:p w14:paraId="511370D8" w14:textId="77777777" w:rsidR="00EB7FCB" w:rsidRDefault="00EB7FCB" w:rsidP="00EB7FCB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b/>
        </w:rPr>
      </w:pPr>
    </w:p>
    <w:p w14:paraId="71DCE036" w14:textId="77777777" w:rsidR="00EB7FCB" w:rsidRDefault="00EB7FCB" w:rsidP="00EB7FCB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>Připomínka:</w:t>
      </w:r>
    </w:p>
    <w:p w14:paraId="41927E57" w14:textId="77777777" w:rsidR="00EB7FCB" w:rsidRPr="00DE3454" w:rsidRDefault="00EB7FCB" w:rsidP="00EB7FCB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i/>
          <w:iCs/>
        </w:rPr>
      </w:pPr>
      <w:r w:rsidRPr="00DE3454">
        <w:rPr>
          <w:i/>
          <w:iCs/>
        </w:rPr>
        <w:t xml:space="preserve">Zvážit zdůraznění role Rady studijního programu ve vztahu k obsahu a charakteru studijního programu, např. zvýšit důraz na zpětnou vazbu od studentů a zástupců </w:t>
      </w:r>
      <w:r w:rsidRPr="00DE3454">
        <w:rPr>
          <w:i/>
          <w:iCs/>
        </w:rPr>
        <w:br/>
        <w:t xml:space="preserve">z praxe k charakteru studijního programu. </w:t>
      </w:r>
    </w:p>
    <w:p w14:paraId="2C0599DC" w14:textId="77777777" w:rsidR="00EB7FCB" w:rsidRDefault="00EB7FCB" w:rsidP="00DE3454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b/>
          <w:bCs/>
        </w:rPr>
      </w:pPr>
      <w:r>
        <w:rPr>
          <w:b/>
          <w:bCs/>
        </w:rPr>
        <w:t>Vypořádání připomínky:</w:t>
      </w:r>
    </w:p>
    <w:p w14:paraId="6DEC66FC" w14:textId="77777777" w:rsidR="00EB7FCB" w:rsidRDefault="00EB7FCB" w:rsidP="00EB7FCB">
      <w:pPr>
        <w:pStyle w:val="Normlnweb"/>
        <w:tabs>
          <w:tab w:val="left" w:pos="142"/>
        </w:tabs>
        <w:spacing w:before="0" w:beforeAutospacing="0" w:after="0" w:afterAutospacing="0"/>
        <w:jc w:val="both"/>
      </w:pPr>
      <w:r w:rsidRPr="00ED67C3">
        <w:t>Rada studijních programů FaME (dále jen RSP) hraje a vždy hrála při směřování studijní</w:t>
      </w:r>
      <w:r>
        <w:t>ch</w:t>
      </w:r>
      <w:r w:rsidRPr="00ED67C3">
        <w:t xml:space="preserve"> program</w:t>
      </w:r>
      <w:r>
        <w:t>ů</w:t>
      </w:r>
      <w:r w:rsidRPr="00ED67C3">
        <w:t xml:space="preserve"> významnou roli. Jejími členy jsou garanti jednotlivých SP na FaME</w:t>
      </w:r>
      <w:r>
        <w:t>,</w:t>
      </w:r>
      <w:r w:rsidRPr="00ED67C3">
        <w:t xml:space="preserve"> ředitelé ústavů FaME</w:t>
      </w:r>
      <w:r>
        <w:t xml:space="preserve"> a zástupce studentů FaME.</w:t>
      </w:r>
      <w:r w:rsidRPr="00ED67C3">
        <w:t xml:space="preserve"> Veškeré návrhy na změny studijní</w:t>
      </w:r>
      <w:r>
        <w:t>ch</w:t>
      </w:r>
      <w:r w:rsidRPr="00ED67C3">
        <w:t xml:space="preserve"> program</w:t>
      </w:r>
      <w:r>
        <w:t>ů</w:t>
      </w:r>
      <w:r w:rsidRPr="00ED67C3">
        <w:t xml:space="preserve"> se projednávají na návrh garantů studijních programů a ředitelů ústavů na RSP a jsou přijímány po konsensu většiny přítomných členů RSP. RSP sleduje a hodnotí příslušný SP, projednává úpravy studijních plánů, kreditového ohodnocení jednotlivých předmětů, obsahové změny jednotlivých předmětů, strukturu povinně volitelných předmětů, </w:t>
      </w:r>
      <w:r>
        <w:t xml:space="preserve">garanty a přednášející u jednotlivých předmětů, </w:t>
      </w:r>
      <w:r w:rsidRPr="00ED67C3">
        <w:t>schvaluje okruhy ke státním závěrečným zkouškám, předsedy, místopředsedy a členy komisí ke státním závěrečným zkouškám</w:t>
      </w:r>
      <w:r>
        <w:t xml:space="preserve"> </w:t>
      </w:r>
      <w:r w:rsidRPr="00ED67C3">
        <w:t>a ostatní podněty a návrhy garantů SP, ředitelů a ostatních akademických pracovníků. Jakékoliv změny ve studijních programech FaME nejsou možné bez souhlasného stanoviska RSP.</w:t>
      </w:r>
    </w:p>
    <w:p w14:paraId="2137B820" w14:textId="77777777" w:rsidR="00EB7FCB" w:rsidRPr="00ED67C3" w:rsidRDefault="00EB7FCB" w:rsidP="00EB7FCB">
      <w:pPr>
        <w:pStyle w:val="Normlnweb"/>
        <w:tabs>
          <w:tab w:val="left" w:pos="142"/>
        </w:tabs>
        <w:spacing w:before="0" w:beforeAutospacing="0" w:after="0" w:afterAutospacing="0"/>
        <w:jc w:val="both"/>
      </w:pPr>
    </w:p>
    <w:p w14:paraId="719F70B9" w14:textId="77777777" w:rsidR="00EB7FCB" w:rsidRPr="00ED67C3" w:rsidRDefault="00EB7FCB" w:rsidP="00EB7FCB">
      <w:pPr>
        <w:pStyle w:val="Normlnweb"/>
        <w:tabs>
          <w:tab w:val="left" w:pos="142"/>
        </w:tabs>
        <w:spacing w:before="0" w:beforeAutospacing="0" w:after="0" w:afterAutospacing="0"/>
        <w:jc w:val="both"/>
      </w:pPr>
      <w:r w:rsidRPr="00ED67C3">
        <w:t xml:space="preserve">FaME dbá na hodnocení výuky, které probíhá každý semestr elektronickou formou přes IS Portál a každý ředitel ústavu přihlíží k výsledkům a připomínkám a zohledňuje je společně s jednotlivými garanty předmětů v budoucnu v jednotlivých předmětech tak, aby bylo dosaženo co možná nejvyšší </w:t>
      </w:r>
      <w:r>
        <w:t xml:space="preserve">kvalitativní </w:t>
      </w:r>
      <w:r w:rsidRPr="00ED67C3">
        <w:t xml:space="preserve">úrovně výuky v daných předmětech. Tzn., že výsledky hodnocení výuky se každý akademický rok promítají do obsahové nebo organizační náplně jednotlivých předmětů. </w:t>
      </w:r>
    </w:p>
    <w:p w14:paraId="0CB465E4" w14:textId="77777777" w:rsidR="00EB7FCB" w:rsidRDefault="00EB7FCB" w:rsidP="00EB7FCB">
      <w:pPr>
        <w:pStyle w:val="Normlnweb"/>
        <w:tabs>
          <w:tab w:val="left" w:pos="142"/>
        </w:tabs>
        <w:spacing w:before="0" w:beforeAutospacing="0" w:after="0" w:afterAutospacing="0"/>
        <w:jc w:val="both"/>
      </w:pPr>
      <w:r w:rsidRPr="00ED67C3">
        <w:t>Zpětná vazba a názory zástupců praxe byly již zohledněny při přípravě tohoto návrhu akreditace MSP Finance, což je popsáno ve standardu 1.11 sebehodnotící zprávy</w:t>
      </w:r>
      <w:r>
        <w:t>. V průběhu realizace SP bude se zástupci praxe průběžně komunikováno a zohledněny budou rovněž výsledky průzkumu u zaměstnavatelů, které organizuje UTB (projednáním v RSP s účastí garanta SP).</w:t>
      </w:r>
    </w:p>
    <w:p w14:paraId="3A959945" w14:textId="77777777" w:rsidR="00EB7FCB" w:rsidRDefault="00EB7FCB" w:rsidP="00EB7FCB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b/>
        </w:rPr>
      </w:pPr>
    </w:p>
    <w:p w14:paraId="1825D1E6" w14:textId="77777777" w:rsidR="00EB7FCB" w:rsidRDefault="00EB7FCB" w:rsidP="00EB7FCB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>Připomínka:</w:t>
      </w:r>
    </w:p>
    <w:p w14:paraId="7DF21242" w14:textId="77777777" w:rsidR="00EB7FCB" w:rsidRPr="00DE3454" w:rsidRDefault="00EB7FCB" w:rsidP="00EB7FCB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i/>
          <w:iCs/>
        </w:rPr>
      </w:pPr>
      <w:r w:rsidRPr="00DE3454">
        <w:rPr>
          <w:i/>
          <w:iCs/>
        </w:rPr>
        <w:t xml:space="preserve">Okomentovat v sebehodnotící zprávě výrazné shody z hlediska řazení předmětů mezi jednotlivými specializacemi, zda je v souladu se standardy akreditace SP. </w:t>
      </w:r>
    </w:p>
    <w:p w14:paraId="4AB36689" w14:textId="77777777" w:rsidR="00EB7FCB" w:rsidRDefault="00EB7FCB" w:rsidP="00CE4FCB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b/>
          <w:bCs/>
        </w:rPr>
      </w:pPr>
      <w:r>
        <w:rPr>
          <w:b/>
          <w:bCs/>
        </w:rPr>
        <w:t>Vypořádání připomínky:</w:t>
      </w:r>
    </w:p>
    <w:p w14:paraId="5F7179A6" w14:textId="77777777" w:rsidR="00EB7FCB" w:rsidRDefault="00EB7FCB" w:rsidP="00CE4FCB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 rámci standardu 2.12 v sebehodnotící zprávě byly doplněny informace z hlediska členění předmětů a jejich zařazení v jednotlivých specializacích. Studijní plán magisterského studijního programu Finance je rozdělen do čtyř základních částí (využívá strukturu běžné praxe řazení předmětů na FaME UTB ve Zlíně): </w:t>
      </w:r>
    </w:p>
    <w:p w14:paraId="75C20E74" w14:textId="30B1701A" w:rsidR="00BA1E34" w:rsidRDefault="00EB7FCB" w:rsidP="00CE4FCB">
      <w:pPr>
        <w:pStyle w:val="Odstavecseseznamem"/>
        <w:numPr>
          <w:ilvl w:val="0"/>
          <w:numId w:val="9"/>
        </w:numPr>
        <w:spacing w:before="120" w:after="120"/>
        <w:jc w:val="both"/>
        <w:rPr>
          <w:rFonts w:ascii="Times New Roman" w:hAnsi="Times New Roman"/>
          <w:b/>
          <w:sz w:val="24"/>
          <w:szCs w:val="24"/>
        </w:rPr>
      </w:pPr>
      <w:r w:rsidRPr="00BA1E34">
        <w:rPr>
          <w:rFonts w:ascii="Times New Roman" w:hAnsi="Times New Roman"/>
          <w:b/>
          <w:sz w:val="24"/>
          <w:szCs w:val="24"/>
        </w:rPr>
        <w:t>Povinné předměty</w:t>
      </w:r>
      <w:r w:rsidRPr="00BA1E34">
        <w:rPr>
          <w:rFonts w:ascii="Times New Roman" w:hAnsi="Times New Roman"/>
          <w:sz w:val="24"/>
          <w:szCs w:val="24"/>
        </w:rPr>
        <w:t xml:space="preserve"> </w:t>
      </w:r>
      <w:r w:rsidR="00DE3454" w:rsidRPr="00BA1E34">
        <w:rPr>
          <w:rFonts w:ascii="Times New Roman" w:hAnsi="Times New Roman"/>
          <w:b/>
          <w:sz w:val="24"/>
          <w:szCs w:val="24"/>
        </w:rPr>
        <w:t xml:space="preserve">pro obě </w:t>
      </w:r>
      <w:r w:rsidRPr="00BA1E34">
        <w:rPr>
          <w:rFonts w:ascii="Times New Roman" w:hAnsi="Times New Roman"/>
          <w:b/>
          <w:sz w:val="24"/>
          <w:szCs w:val="24"/>
        </w:rPr>
        <w:t>specializac</w:t>
      </w:r>
      <w:r w:rsidR="00DE3454" w:rsidRPr="00BA1E34">
        <w:rPr>
          <w:rFonts w:ascii="Times New Roman" w:hAnsi="Times New Roman"/>
          <w:b/>
          <w:sz w:val="24"/>
          <w:szCs w:val="24"/>
        </w:rPr>
        <w:t>e</w:t>
      </w:r>
    </w:p>
    <w:p w14:paraId="222667F2" w14:textId="366E61DE" w:rsidR="00BA1E34" w:rsidRPr="00BA1E34" w:rsidRDefault="00BA1E34" w:rsidP="00CE4FCB">
      <w:pPr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A1E34">
        <w:rPr>
          <w:rFonts w:ascii="Times New Roman" w:hAnsi="Times New Roman"/>
          <w:sz w:val="24"/>
          <w:szCs w:val="24"/>
        </w:rPr>
        <w:t>Absolvováním povinných předmětů získá student 82 kreditů, tj. 68 % z celkového počtu kreditů, což je v souladu s doporučenými postupy pro tvorbu studijních programů.</w:t>
      </w:r>
    </w:p>
    <w:p w14:paraId="5A1C44D1" w14:textId="138BD048" w:rsidR="00EB7FCB" w:rsidRPr="00BA1E34" w:rsidRDefault="00EB7FCB" w:rsidP="00CE4FCB">
      <w:pPr>
        <w:pStyle w:val="Odstavecseseznamem"/>
        <w:numPr>
          <w:ilvl w:val="0"/>
          <w:numId w:val="9"/>
        </w:numPr>
        <w:spacing w:before="120" w:after="120"/>
        <w:jc w:val="both"/>
        <w:rPr>
          <w:rFonts w:ascii="Times New Roman" w:hAnsi="Times New Roman"/>
          <w:b/>
          <w:sz w:val="24"/>
          <w:szCs w:val="24"/>
        </w:rPr>
      </w:pPr>
      <w:r w:rsidRPr="00BA1E34">
        <w:rPr>
          <w:rFonts w:ascii="Times New Roman" w:hAnsi="Times New Roman"/>
          <w:b/>
          <w:sz w:val="24"/>
          <w:szCs w:val="24"/>
        </w:rPr>
        <w:t xml:space="preserve">Povinné předměty specializační </w:t>
      </w:r>
    </w:p>
    <w:p w14:paraId="0988EC82" w14:textId="3A42AD57" w:rsidR="00EB7FCB" w:rsidRDefault="00EB7FCB" w:rsidP="00CE4FCB">
      <w:pPr>
        <w:pStyle w:val="Odstavecseseznamem"/>
        <w:spacing w:before="12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sz w:val="24"/>
          <w:szCs w:val="24"/>
        </w:rPr>
        <w:t xml:space="preserve">Specializace </w:t>
      </w:r>
      <w:r w:rsidR="00DE3454">
        <w:rPr>
          <w:rFonts w:ascii="Times New Roman" w:hAnsi="Times New Roman"/>
          <w:b/>
          <w:bCs/>
          <w:sz w:val="24"/>
          <w:szCs w:val="24"/>
        </w:rPr>
        <w:t>Corporate Finance</w:t>
      </w:r>
      <w:r>
        <w:rPr>
          <w:rFonts w:ascii="Times New Roman" w:hAnsi="Times New Roman"/>
          <w:sz w:val="24"/>
          <w:szCs w:val="24"/>
        </w:rPr>
        <w:t xml:space="preserve">: </w:t>
      </w:r>
    </w:p>
    <w:p w14:paraId="64E5DDE3" w14:textId="1AD0FFCF" w:rsidR="00EB7FCB" w:rsidRDefault="00EB7FCB" w:rsidP="00CE4FCB">
      <w:pPr>
        <w:pStyle w:val="Odstavecseseznamem"/>
        <w:spacing w:before="12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Absolvováním povinných specializačních předmětů získá student</w:t>
      </w:r>
      <w:r w:rsidR="00DE3454">
        <w:rPr>
          <w:rFonts w:ascii="Times New Roman" w:hAnsi="Times New Roman"/>
          <w:sz w:val="24"/>
          <w:szCs w:val="24"/>
        </w:rPr>
        <w:t xml:space="preserve"> 31 </w:t>
      </w:r>
      <w:r>
        <w:rPr>
          <w:rFonts w:ascii="Times New Roman" w:hAnsi="Times New Roman"/>
          <w:sz w:val="24"/>
          <w:szCs w:val="24"/>
        </w:rPr>
        <w:t xml:space="preserve">kreditů z celkového počtu kreditů, tj.  </w:t>
      </w:r>
      <w:r w:rsidR="00DE3454">
        <w:rPr>
          <w:rFonts w:ascii="Times New Roman" w:hAnsi="Times New Roman"/>
          <w:sz w:val="24"/>
          <w:szCs w:val="24"/>
        </w:rPr>
        <w:t xml:space="preserve">26 </w:t>
      </w:r>
      <w:r>
        <w:rPr>
          <w:rFonts w:ascii="Times New Roman" w:hAnsi="Times New Roman"/>
          <w:sz w:val="24"/>
          <w:szCs w:val="24"/>
        </w:rPr>
        <w:t>%.</w:t>
      </w:r>
    </w:p>
    <w:p w14:paraId="617E432D" w14:textId="190F37EE" w:rsidR="00EB7FCB" w:rsidRDefault="00EB7FCB" w:rsidP="00CE4FCB">
      <w:pPr>
        <w:pStyle w:val="Odstavecseseznamem"/>
        <w:spacing w:before="12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b. </w:t>
      </w:r>
      <w:r>
        <w:rPr>
          <w:rFonts w:ascii="Times New Roman" w:hAnsi="Times New Roman"/>
          <w:b/>
          <w:sz w:val="24"/>
          <w:szCs w:val="24"/>
        </w:rPr>
        <w:t>Specializace Fin</w:t>
      </w:r>
      <w:r w:rsidR="00DE3454">
        <w:rPr>
          <w:rFonts w:ascii="Times New Roman" w:hAnsi="Times New Roman"/>
          <w:b/>
          <w:sz w:val="24"/>
          <w:szCs w:val="24"/>
        </w:rPr>
        <w:t>ancial Markets and Technologies</w:t>
      </w:r>
      <w:r>
        <w:rPr>
          <w:rFonts w:ascii="Times New Roman" w:hAnsi="Times New Roman"/>
          <w:b/>
          <w:sz w:val="24"/>
          <w:szCs w:val="24"/>
        </w:rPr>
        <w:t xml:space="preserve">: </w:t>
      </w:r>
    </w:p>
    <w:p w14:paraId="7C9BBCA4" w14:textId="77E160BA" w:rsidR="00EB7FCB" w:rsidRPr="00DE3454" w:rsidRDefault="00EB7FCB" w:rsidP="00CE4FCB">
      <w:pPr>
        <w:pStyle w:val="Odstavecseseznamem"/>
        <w:spacing w:before="12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Absolvováním povinných specializačních předmětů získá student 3</w:t>
      </w:r>
      <w:r w:rsidR="00DE3454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kreditů, tj. </w:t>
      </w:r>
      <w:r w:rsidR="00DE3454">
        <w:rPr>
          <w:rFonts w:ascii="Times New Roman" w:hAnsi="Times New Roman"/>
          <w:sz w:val="24"/>
          <w:szCs w:val="24"/>
        </w:rPr>
        <w:t>25</w:t>
      </w:r>
      <w:r>
        <w:rPr>
          <w:rFonts w:ascii="Times New Roman" w:hAnsi="Times New Roman"/>
          <w:sz w:val="24"/>
          <w:szCs w:val="24"/>
        </w:rPr>
        <w:t xml:space="preserve"> % z celkového počtu kreditů.</w:t>
      </w:r>
    </w:p>
    <w:p w14:paraId="7DA0D968" w14:textId="1EADE3E5" w:rsidR="00EB7FCB" w:rsidRPr="004A38BC" w:rsidRDefault="00EB7FCB" w:rsidP="00CE4FCB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4A38BC">
        <w:rPr>
          <w:rFonts w:ascii="Times New Roman" w:hAnsi="Times New Roman"/>
          <w:sz w:val="24"/>
          <w:szCs w:val="24"/>
        </w:rPr>
        <w:t>Absolvováním společných povinných předmětů a povinných specializačních předmětů získá student celkem 11</w:t>
      </w:r>
      <w:r w:rsidR="00DE3454">
        <w:rPr>
          <w:rFonts w:ascii="Times New Roman" w:hAnsi="Times New Roman"/>
          <w:sz w:val="24"/>
          <w:szCs w:val="24"/>
        </w:rPr>
        <w:t>3</w:t>
      </w:r>
      <w:r w:rsidRPr="004A38BC">
        <w:rPr>
          <w:rFonts w:ascii="Times New Roman" w:hAnsi="Times New Roman"/>
          <w:sz w:val="24"/>
          <w:szCs w:val="24"/>
        </w:rPr>
        <w:t xml:space="preserve"> kreditů ve specializaci </w:t>
      </w:r>
      <w:r w:rsidR="00DE3454">
        <w:rPr>
          <w:rFonts w:ascii="Times New Roman" w:hAnsi="Times New Roman"/>
          <w:sz w:val="24"/>
          <w:szCs w:val="24"/>
        </w:rPr>
        <w:t>Corporate Finance a</w:t>
      </w:r>
      <w:r w:rsidRPr="004A38BC">
        <w:rPr>
          <w:rFonts w:ascii="Times New Roman" w:hAnsi="Times New Roman"/>
          <w:sz w:val="24"/>
          <w:szCs w:val="24"/>
        </w:rPr>
        <w:t xml:space="preserve"> 1</w:t>
      </w:r>
      <w:r w:rsidR="00DE3454">
        <w:rPr>
          <w:rFonts w:ascii="Times New Roman" w:hAnsi="Times New Roman"/>
          <w:sz w:val="24"/>
          <w:szCs w:val="24"/>
        </w:rPr>
        <w:t>12</w:t>
      </w:r>
      <w:r w:rsidRPr="004A38BC">
        <w:rPr>
          <w:rFonts w:ascii="Times New Roman" w:hAnsi="Times New Roman"/>
          <w:sz w:val="24"/>
          <w:szCs w:val="24"/>
        </w:rPr>
        <w:t xml:space="preserve"> kreditů ve specializaci Finan</w:t>
      </w:r>
      <w:r w:rsidR="00DE3454">
        <w:rPr>
          <w:rFonts w:ascii="Times New Roman" w:hAnsi="Times New Roman"/>
          <w:sz w:val="24"/>
          <w:szCs w:val="24"/>
        </w:rPr>
        <w:t>cial Markets</w:t>
      </w:r>
      <w:r w:rsidRPr="004A38BC">
        <w:rPr>
          <w:rFonts w:ascii="Times New Roman" w:hAnsi="Times New Roman"/>
          <w:sz w:val="24"/>
          <w:szCs w:val="24"/>
        </w:rPr>
        <w:t xml:space="preserve"> a</w:t>
      </w:r>
      <w:r w:rsidR="00DE3454">
        <w:rPr>
          <w:rFonts w:ascii="Times New Roman" w:hAnsi="Times New Roman"/>
          <w:sz w:val="24"/>
          <w:szCs w:val="24"/>
        </w:rPr>
        <w:t>nd</w:t>
      </w:r>
      <w:r w:rsidRPr="004A38BC">
        <w:rPr>
          <w:rFonts w:ascii="Times New Roman" w:hAnsi="Times New Roman"/>
          <w:sz w:val="24"/>
          <w:szCs w:val="24"/>
        </w:rPr>
        <w:t xml:space="preserve"> </w:t>
      </w:r>
      <w:r w:rsidR="00DE3454">
        <w:rPr>
          <w:rFonts w:ascii="Times New Roman" w:hAnsi="Times New Roman"/>
          <w:sz w:val="24"/>
          <w:szCs w:val="24"/>
        </w:rPr>
        <w:t>T</w:t>
      </w:r>
      <w:r w:rsidRPr="004A38BC">
        <w:rPr>
          <w:rFonts w:ascii="Times New Roman" w:hAnsi="Times New Roman"/>
          <w:sz w:val="24"/>
          <w:szCs w:val="24"/>
        </w:rPr>
        <w:t>echnologie</w:t>
      </w:r>
      <w:r w:rsidR="00DE3454">
        <w:rPr>
          <w:rFonts w:ascii="Times New Roman" w:hAnsi="Times New Roman"/>
          <w:sz w:val="24"/>
          <w:szCs w:val="24"/>
        </w:rPr>
        <w:t>s</w:t>
      </w:r>
      <w:r w:rsidRPr="004A38BC">
        <w:rPr>
          <w:rFonts w:ascii="Times New Roman" w:hAnsi="Times New Roman"/>
          <w:sz w:val="24"/>
          <w:szCs w:val="24"/>
        </w:rPr>
        <w:t>.</w:t>
      </w:r>
    </w:p>
    <w:p w14:paraId="1EC17879" w14:textId="77777777" w:rsidR="00EB7FCB" w:rsidRPr="004A38BC" w:rsidRDefault="00EB7FCB" w:rsidP="00CE4FCB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4A38BC">
        <w:rPr>
          <w:rFonts w:ascii="Times New Roman" w:hAnsi="Times New Roman"/>
          <w:sz w:val="24"/>
          <w:szCs w:val="24"/>
        </w:rPr>
        <w:t xml:space="preserve">Uvedená struktura předmětů odpovídá doporučeným postupům pro přípravu studijních programů dle NAÚ. </w:t>
      </w:r>
    </w:p>
    <w:p w14:paraId="0F36ECED" w14:textId="7E417D5F" w:rsidR="00EB7FCB" w:rsidRPr="00BA1E34" w:rsidRDefault="00EB7FCB" w:rsidP="00CE4FCB">
      <w:pPr>
        <w:pStyle w:val="Odstavecseseznamem"/>
        <w:numPr>
          <w:ilvl w:val="0"/>
          <w:numId w:val="9"/>
        </w:numPr>
        <w:spacing w:before="120" w:after="12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BA1E34">
        <w:rPr>
          <w:rFonts w:ascii="Times New Roman" w:hAnsi="Times New Roman"/>
          <w:b/>
          <w:sz w:val="24"/>
          <w:szCs w:val="24"/>
        </w:rPr>
        <w:t>Povinně volitelné předměty</w:t>
      </w:r>
      <w:r w:rsidR="00DE3454" w:rsidRPr="00BA1E34">
        <w:rPr>
          <w:rFonts w:ascii="Times New Roman" w:hAnsi="Times New Roman"/>
          <w:b/>
          <w:sz w:val="24"/>
          <w:szCs w:val="24"/>
        </w:rPr>
        <w:t xml:space="preserve"> </w:t>
      </w:r>
      <w:r w:rsidRPr="00BA1E34">
        <w:rPr>
          <w:rFonts w:ascii="Times New Roman" w:hAnsi="Times New Roman"/>
          <w:b/>
          <w:sz w:val="24"/>
          <w:szCs w:val="24"/>
        </w:rPr>
        <w:t xml:space="preserve">– </w:t>
      </w:r>
      <w:r w:rsidRPr="00BA1E34">
        <w:rPr>
          <w:rFonts w:ascii="Times New Roman" w:hAnsi="Times New Roman"/>
          <w:bCs/>
          <w:sz w:val="24"/>
          <w:szCs w:val="24"/>
        </w:rPr>
        <w:t>v rámci daného počtu kreditů u jednotlivých specializací (</w:t>
      </w:r>
      <w:r w:rsidR="00DE3454" w:rsidRPr="00BA1E34">
        <w:rPr>
          <w:rFonts w:ascii="Times New Roman" w:hAnsi="Times New Roman"/>
          <w:bCs/>
          <w:sz w:val="24"/>
          <w:szCs w:val="24"/>
        </w:rPr>
        <w:t xml:space="preserve">cca </w:t>
      </w:r>
      <w:r w:rsidRPr="00BA1E34">
        <w:rPr>
          <w:rFonts w:ascii="Times New Roman" w:hAnsi="Times New Roman"/>
          <w:bCs/>
          <w:sz w:val="24"/>
          <w:szCs w:val="24"/>
        </w:rPr>
        <w:t>6</w:t>
      </w:r>
      <w:r w:rsidR="00782DCD">
        <w:rPr>
          <w:rFonts w:ascii="Times New Roman" w:hAnsi="Times New Roman"/>
          <w:bCs/>
          <w:sz w:val="24"/>
          <w:szCs w:val="24"/>
        </w:rPr>
        <w:t>-7</w:t>
      </w:r>
      <w:r w:rsidR="00DE3454" w:rsidRPr="00BA1E34">
        <w:rPr>
          <w:rFonts w:ascii="Times New Roman" w:hAnsi="Times New Roman"/>
          <w:bCs/>
          <w:sz w:val="24"/>
          <w:szCs w:val="24"/>
        </w:rPr>
        <w:t xml:space="preserve"> % </w:t>
      </w:r>
      <w:r w:rsidRPr="00BA1E34">
        <w:rPr>
          <w:rFonts w:ascii="Times New Roman" w:hAnsi="Times New Roman"/>
          <w:bCs/>
          <w:sz w:val="24"/>
          <w:szCs w:val="24"/>
        </w:rPr>
        <w:t>z celkového počtu kreditů</w:t>
      </w:r>
      <w:r w:rsidR="00DE3454" w:rsidRPr="00BA1E34">
        <w:rPr>
          <w:rFonts w:ascii="Times New Roman" w:hAnsi="Times New Roman"/>
          <w:bCs/>
          <w:sz w:val="24"/>
          <w:szCs w:val="24"/>
        </w:rPr>
        <w:t>)</w:t>
      </w:r>
      <w:r w:rsidRPr="00BA1E34">
        <w:rPr>
          <w:rFonts w:ascii="Times New Roman" w:hAnsi="Times New Roman"/>
          <w:bCs/>
          <w:sz w:val="24"/>
          <w:szCs w:val="24"/>
        </w:rPr>
        <w:t xml:space="preserve"> je umožněno studentům vybrat si z nabízené sady předmětů, přičemž předměty rozšiřují buď znalostní základnu nebo zvyšují dovednosti, či kompetence studenta</w:t>
      </w:r>
      <w:r w:rsidR="00DB1639">
        <w:rPr>
          <w:rFonts w:ascii="Times New Roman" w:hAnsi="Times New Roman"/>
          <w:bCs/>
          <w:sz w:val="24"/>
          <w:szCs w:val="24"/>
        </w:rPr>
        <w:t xml:space="preserve"> (obsahuje vybrané předměty z druhé specializace a další předměty z nabídky jiných SP realizovaných na FaME)</w:t>
      </w:r>
      <w:r w:rsidRPr="00BA1E34">
        <w:rPr>
          <w:rFonts w:ascii="Times New Roman" w:hAnsi="Times New Roman"/>
          <w:bCs/>
          <w:sz w:val="24"/>
          <w:szCs w:val="24"/>
        </w:rPr>
        <w:t xml:space="preserve">. </w:t>
      </w:r>
    </w:p>
    <w:p w14:paraId="392DBD21" w14:textId="77777777" w:rsidR="00EB7FCB" w:rsidRDefault="00EB7FCB" w:rsidP="00EB7FCB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b/>
        </w:rPr>
      </w:pPr>
    </w:p>
    <w:p w14:paraId="2ABD7341" w14:textId="77777777" w:rsidR="00EB7FCB" w:rsidRDefault="00EB7FCB" w:rsidP="00EB7FCB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>Připomínka:</w:t>
      </w:r>
    </w:p>
    <w:p w14:paraId="40FB5D67" w14:textId="77777777" w:rsidR="00EB7FCB" w:rsidRPr="00073824" w:rsidRDefault="00EB7FCB" w:rsidP="00EB7FCB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i/>
          <w:iCs/>
        </w:rPr>
      </w:pPr>
      <w:r w:rsidRPr="00073824">
        <w:rPr>
          <w:i/>
          <w:iCs/>
        </w:rPr>
        <w:t xml:space="preserve">Doplnit do přílohy E. Sebehodnotící zpráva studijního programu standard 3.2 (Forma studia) a standard 3.3 (Studijní literatura a studijní opory). V rámci obou standardů detailněji popsat stávající připravenost na realizací online/distančních forem výuky </w:t>
      </w:r>
      <w:r w:rsidRPr="00073824">
        <w:rPr>
          <w:i/>
          <w:iCs/>
        </w:rPr>
        <w:br/>
        <w:t xml:space="preserve">i v rámci prezenčního studia v případě mimořádných událostí, jakými je např. onemocnění COVID-19 (způsob náhrady prezenční výuky, dostupnost online zdrojů, studijních opor a vybavení pro studenty). Zároveň ve standardu 3.3 popsat plán tvorby online přednášek/výuky, který bude obsahovat závazný postup digitalizace všech přednášek a seminářů ve SP v nadcházejících dvou letech, včetně uvedení konkrétních předmětů a termínů, do kdy bude realizována jejich multimediální digitalizace (převedení na online výukové platformy). </w:t>
      </w:r>
    </w:p>
    <w:p w14:paraId="6923AD21" w14:textId="77777777" w:rsidR="00073824" w:rsidRDefault="00EB7FCB" w:rsidP="00073824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b/>
          <w:bCs/>
        </w:rPr>
      </w:pPr>
      <w:r>
        <w:rPr>
          <w:b/>
          <w:bCs/>
        </w:rPr>
        <w:t>Vypořádání připomínky:</w:t>
      </w:r>
    </w:p>
    <w:p w14:paraId="5C41503C" w14:textId="0C95C7EE" w:rsidR="00EB7FCB" w:rsidRPr="00073824" w:rsidRDefault="00EB7FCB" w:rsidP="00073824">
      <w:pPr>
        <w:pStyle w:val="Normlnweb"/>
        <w:tabs>
          <w:tab w:val="left" w:pos="142"/>
        </w:tabs>
        <w:spacing w:before="0" w:beforeAutospacing="0"/>
        <w:jc w:val="both"/>
        <w:rPr>
          <w:b/>
          <w:bCs/>
        </w:rPr>
      </w:pPr>
      <w:r>
        <w:t>Komentář je uveden v upravené sebehodnotící zprávě v rámci standardů 3.2. a 3.3.</w:t>
      </w:r>
    </w:p>
    <w:p w14:paraId="50AFEDB4" w14:textId="77777777" w:rsidR="00EB7FCB" w:rsidRDefault="00EB7FCB" w:rsidP="00EB7FCB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>V rámci aktualizace byly v akreditačním spisu provedeny další změny:</w:t>
      </w:r>
    </w:p>
    <w:p w14:paraId="083EFF6A" w14:textId="765C93A4" w:rsidR="00EB7FCB" w:rsidRDefault="00EB7FCB" w:rsidP="00EB7FCB">
      <w:pPr>
        <w:pStyle w:val="Normlnweb"/>
        <w:numPr>
          <w:ilvl w:val="0"/>
          <w:numId w:val="7"/>
        </w:numPr>
        <w:tabs>
          <w:tab w:val="left" w:pos="142"/>
        </w:tabs>
        <w:spacing w:before="0" w:beforeAutospacing="0" w:after="0" w:afterAutospacing="0"/>
        <w:jc w:val="both"/>
        <w:rPr>
          <w:bCs/>
        </w:rPr>
      </w:pPr>
      <w:r>
        <w:rPr>
          <w:bCs/>
        </w:rPr>
        <w:t>prodloužení pracovní smlouvy u Ing. Mojmíra Hampla, Ph.D. do 31.8. 2023 s týdenní pracovní dobou 16 h</w:t>
      </w:r>
    </w:p>
    <w:p w14:paraId="00B8ED0D" w14:textId="7E1F60E2" w:rsidR="00073824" w:rsidRDefault="00073824" w:rsidP="00073824">
      <w:pPr>
        <w:pStyle w:val="Normlnweb"/>
        <w:numPr>
          <w:ilvl w:val="0"/>
          <w:numId w:val="7"/>
        </w:numPr>
        <w:tabs>
          <w:tab w:val="left" w:pos="142"/>
        </w:tabs>
        <w:spacing w:before="0" w:beforeAutospacing="0" w:after="0" w:afterAutospacing="0"/>
        <w:jc w:val="both"/>
        <w:rPr>
          <w:bCs/>
        </w:rPr>
      </w:pPr>
      <w:r>
        <w:rPr>
          <w:bCs/>
        </w:rPr>
        <w:t xml:space="preserve">úprava rozsahu výuky a počtu kreditů u předmětu Financial Lab </w:t>
      </w:r>
    </w:p>
    <w:p w14:paraId="5898E74C" w14:textId="4BE0667E" w:rsidR="00073824" w:rsidRPr="00073824" w:rsidRDefault="00073824" w:rsidP="00073824">
      <w:pPr>
        <w:pStyle w:val="Normlnweb"/>
        <w:numPr>
          <w:ilvl w:val="0"/>
          <w:numId w:val="7"/>
        </w:numPr>
        <w:tabs>
          <w:tab w:val="left" w:pos="142"/>
        </w:tabs>
        <w:spacing w:before="0" w:beforeAutospacing="0" w:after="0" w:afterAutospacing="0"/>
        <w:jc w:val="both"/>
        <w:rPr>
          <w:bCs/>
        </w:rPr>
      </w:pPr>
      <w:r>
        <w:rPr>
          <w:bCs/>
        </w:rPr>
        <w:t xml:space="preserve">změna zařazení předmětů Banking and Insurance II, Financial Lab a Business Models </w:t>
      </w:r>
      <w:r w:rsidR="00F500CC">
        <w:rPr>
          <w:bCs/>
        </w:rPr>
        <w:t>do skupiny specializačních předmětů</w:t>
      </w:r>
    </w:p>
    <w:p w14:paraId="73D943FF" w14:textId="77777777" w:rsidR="00EB7FCB" w:rsidRDefault="00EB7FCB" w:rsidP="00EB7FCB">
      <w:pPr>
        <w:pStyle w:val="Normlnweb"/>
        <w:numPr>
          <w:ilvl w:val="0"/>
          <w:numId w:val="7"/>
        </w:numPr>
        <w:tabs>
          <w:tab w:val="left" w:pos="142"/>
        </w:tabs>
        <w:spacing w:before="0" w:beforeAutospacing="0" w:after="0" w:afterAutospacing="0"/>
        <w:jc w:val="both"/>
        <w:rPr>
          <w:bCs/>
        </w:rPr>
      </w:pPr>
      <w:r>
        <w:rPr>
          <w:bCs/>
        </w:rPr>
        <w:t>změna u výuky předmětu Kvantitativní metody v rozhodování (100 % přednášek Mgr. Alena Kolčavová, Ph.D.), vyjmutí CV RNDr. Bedřicha Zimoly</w:t>
      </w:r>
    </w:p>
    <w:p w14:paraId="71127A35" w14:textId="77777777" w:rsidR="00EB7FCB" w:rsidRDefault="00EB7FCB" w:rsidP="00EB7FCB">
      <w:pPr>
        <w:pStyle w:val="Normlnweb"/>
        <w:numPr>
          <w:ilvl w:val="0"/>
          <w:numId w:val="7"/>
        </w:numPr>
        <w:tabs>
          <w:tab w:val="left" w:pos="142"/>
        </w:tabs>
        <w:spacing w:before="0" w:beforeAutospacing="0" w:after="0" w:afterAutospacing="0"/>
        <w:jc w:val="both"/>
        <w:rPr>
          <w:bCs/>
        </w:rPr>
      </w:pPr>
      <w:r>
        <w:rPr>
          <w:bCs/>
        </w:rPr>
        <w:t>změna vyučujícího u předmětu Presentation Skills (Mgr. Igor Drápala) s uvedením jeho CV, vyjmutí CV PhDr. Jany Semotamové</w:t>
      </w:r>
    </w:p>
    <w:p w14:paraId="6CE724BC" w14:textId="77777777" w:rsidR="00EB7FCB" w:rsidRPr="00C90569" w:rsidRDefault="00EB7FCB" w:rsidP="00EB7FCB">
      <w:pPr>
        <w:pStyle w:val="Normlnweb"/>
        <w:numPr>
          <w:ilvl w:val="0"/>
          <w:numId w:val="7"/>
        </w:numPr>
        <w:tabs>
          <w:tab w:val="left" w:pos="142"/>
        </w:tabs>
        <w:spacing w:before="0" w:beforeAutospacing="0" w:after="0" w:afterAutospacing="0"/>
        <w:jc w:val="both"/>
        <w:rPr>
          <w:bCs/>
        </w:rPr>
      </w:pPr>
      <w:r>
        <w:rPr>
          <w:bCs/>
        </w:rPr>
        <w:t>změna vyučujícího u předmětu Business English (Mgr. Igor Drápala) s uvedením jeho CV, vyjmutí CV Mgr. Evy Chmelařové</w:t>
      </w:r>
    </w:p>
    <w:p w14:paraId="7A792645" w14:textId="77777777" w:rsidR="00EB7FCB" w:rsidRDefault="00EB7FCB" w:rsidP="00EB7FCB">
      <w:pPr>
        <w:pStyle w:val="Normlnweb"/>
        <w:numPr>
          <w:ilvl w:val="0"/>
          <w:numId w:val="7"/>
        </w:numPr>
        <w:tabs>
          <w:tab w:val="left" w:pos="142"/>
        </w:tabs>
        <w:spacing w:before="0" w:beforeAutospacing="0" w:after="0" w:afterAutospacing="0"/>
        <w:jc w:val="both"/>
        <w:rPr>
          <w:bCs/>
        </w:rPr>
      </w:pPr>
      <w:r>
        <w:rPr>
          <w:bCs/>
        </w:rPr>
        <w:t>uvedení nově získaných projektů TA ČR</w:t>
      </w:r>
    </w:p>
    <w:sectPr w:rsidR="00EB7F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92C6A"/>
    <w:multiLevelType w:val="hybridMultilevel"/>
    <w:tmpl w:val="25884F02"/>
    <w:lvl w:ilvl="0" w:tplc="97BA643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0432E"/>
    <w:multiLevelType w:val="hybridMultilevel"/>
    <w:tmpl w:val="DABCDC3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64085"/>
    <w:multiLevelType w:val="hybridMultilevel"/>
    <w:tmpl w:val="B4FCDBD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864F69"/>
    <w:multiLevelType w:val="hybridMultilevel"/>
    <w:tmpl w:val="5F44240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37190E"/>
    <w:multiLevelType w:val="hybridMultilevel"/>
    <w:tmpl w:val="C1DEDFA4"/>
    <w:lvl w:ilvl="0" w:tplc="65E477D6">
      <w:start w:val="3"/>
      <w:numFmt w:val="decimal"/>
      <w:lvlText w:val="%1)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1224E2"/>
    <w:multiLevelType w:val="hybridMultilevel"/>
    <w:tmpl w:val="75D4C97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CE222B"/>
    <w:multiLevelType w:val="hybridMultilevel"/>
    <w:tmpl w:val="2D2E817A"/>
    <w:lvl w:ilvl="0" w:tplc="A02ADA1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7F03A6"/>
    <w:multiLevelType w:val="hybridMultilevel"/>
    <w:tmpl w:val="6AEEA7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EF3EFA"/>
    <w:multiLevelType w:val="hybridMultilevel"/>
    <w:tmpl w:val="C9A2C0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7143C4"/>
    <w:multiLevelType w:val="hybridMultilevel"/>
    <w:tmpl w:val="CDDC030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39870EC"/>
    <w:multiLevelType w:val="hybridMultilevel"/>
    <w:tmpl w:val="C4600E10"/>
    <w:lvl w:ilvl="0" w:tplc="04050005">
      <w:start w:val="1"/>
      <w:numFmt w:val="bullet"/>
      <w:lvlText w:val=""/>
      <w:lvlJc w:val="left"/>
      <w:pPr>
        <w:ind w:left="742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3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8"/>
  </w:num>
  <w:num w:numId="9">
    <w:abstractNumId w:val="9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7C3"/>
    <w:rsid w:val="00073824"/>
    <w:rsid w:val="000A13A3"/>
    <w:rsid w:val="00145194"/>
    <w:rsid w:val="00251CE4"/>
    <w:rsid w:val="003269C0"/>
    <w:rsid w:val="004A38BC"/>
    <w:rsid w:val="004E48C2"/>
    <w:rsid w:val="00782DCD"/>
    <w:rsid w:val="0086767C"/>
    <w:rsid w:val="00986418"/>
    <w:rsid w:val="009A753B"/>
    <w:rsid w:val="009D6FD8"/>
    <w:rsid w:val="00A949B9"/>
    <w:rsid w:val="00AB20F0"/>
    <w:rsid w:val="00B7755C"/>
    <w:rsid w:val="00B81384"/>
    <w:rsid w:val="00BA1E34"/>
    <w:rsid w:val="00BC197C"/>
    <w:rsid w:val="00C84F7F"/>
    <w:rsid w:val="00C90569"/>
    <w:rsid w:val="00C936A8"/>
    <w:rsid w:val="00CE4FCB"/>
    <w:rsid w:val="00D531EB"/>
    <w:rsid w:val="00D92211"/>
    <w:rsid w:val="00DB1639"/>
    <w:rsid w:val="00DD3DA6"/>
    <w:rsid w:val="00DE3454"/>
    <w:rsid w:val="00E34FA5"/>
    <w:rsid w:val="00EB7FCB"/>
    <w:rsid w:val="00ED67C3"/>
    <w:rsid w:val="00F3025E"/>
    <w:rsid w:val="00F500CC"/>
    <w:rsid w:val="00F82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569DF"/>
  <w15:chartTrackingRefBased/>
  <w15:docId w15:val="{8352688E-5C3C-48A5-9438-C4DE1C292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D67C3"/>
    <w:pPr>
      <w:spacing w:after="200" w:line="276" w:lineRule="auto"/>
    </w:pPr>
    <w:rPr>
      <w:rFonts w:ascii="Calibri" w:eastAsia="Calibri" w:hAnsi="Calibri" w:cs="Times New Roman"/>
    </w:rPr>
  </w:style>
  <w:style w:type="paragraph" w:styleId="Nadpis1">
    <w:name w:val="heading 1"/>
    <w:basedOn w:val="Normln"/>
    <w:next w:val="Normln"/>
    <w:link w:val="Nadpis1Char"/>
    <w:qFormat/>
    <w:rsid w:val="00ED67C3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D67C3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Normlnweb">
    <w:name w:val="Normal (Web)"/>
    <w:basedOn w:val="Normln"/>
    <w:uiPriority w:val="99"/>
    <w:unhideWhenUsed/>
    <w:rsid w:val="00ED67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ED67C3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D67C3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OdstavecseseznamemChar">
    <w:name w:val="Odstavec se seznamem Char"/>
    <w:aliases w:val="nad 1 Char,Název grafu Char"/>
    <w:link w:val="Odstavecseseznamem"/>
    <w:uiPriority w:val="34"/>
    <w:locked/>
    <w:rsid w:val="00ED67C3"/>
  </w:style>
  <w:style w:type="paragraph" w:styleId="Odstavecseseznamem">
    <w:name w:val="List Paragraph"/>
    <w:aliases w:val="nad 1,Název grafu"/>
    <w:basedOn w:val="Normln"/>
    <w:link w:val="OdstavecseseznamemChar"/>
    <w:uiPriority w:val="34"/>
    <w:qFormat/>
    <w:rsid w:val="00ED67C3"/>
    <w:pPr>
      <w:spacing w:after="0" w:line="240" w:lineRule="auto"/>
      <w:ind w:left="720"/>
    </w:pPr>
    <w:rPr>
      <w:rFonts w:asciiTheme="minorHAnsi" w:eastAsiaTheme="minorHAnsi" w:hAnsiTheme="minorHAnsi" w:cstheme="minorBid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D67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D67C3"/>
    <w:rPr>
      <w:rFonts w:ascii="Segoe UI" w:eastAsia="Calibr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0A13A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08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6AAE1020B34F47B623458130915FE1" ma:contentTypeVersion="13" ma:contentTypeDescription="Vytvoří nový dokument" ma:contentTypeScope="" ma:versionID="4d04caf49a639acbf96f30d966540592">
  <xsd:schema xmlns:xsd="http://www.w3.org/2001/XMLSchema" xmlns:xs="http://www.w3.org/2001/XMLSchema" xmlns:p="http://schemas.microsoft.com/office/2006/metadata/properties" xmlns:ns3="91f26e49-f70c-446a-af9a-0186764ea1fa" xmlns:ns4="581cfee2-c630-4554-92b2-68787b9159cf" targetNamespace="http://schemas.microsoft.com/office/2006/metadata/properties" ma:root="true" ma:fieldsID="460083f19737fad70aa92622bea648df" ns3:_="" ns4:_="">
    <xsd:import namespace="91f26e49-f70c-446a-af9a-0186764ea1fa"/>
    <xsd:import namespace="581cfee2-c630-4554-92b2-68787b9159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f26e49-f70c-446a-af9a-0186764ea1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1cfee2-c630-4554-92b2-68787b91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9DF0688-693D-409F-AE60-7189719EB1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f26e49-f70c-446a-af9a-0186764ea1fa"/>
    <ds:schemaRef ds:uri="581cfee2-c630-4554-92b2-68787b91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122277-6B33-4170-902B-E106988B12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EB3B1E-DFF5-4F0A-8FC3-A07B4B0F61D0}">
  <ds:schemaRefs>
    <ds:schemaRef ds:uri="91f26e49-f70c-446a-af9a-0186764ea1fa"/>
    <ds:schemaRef ds:uri="http://schemas.microsoft.com/office/2006/metadata/properties"/>
    <ds:schemaRef ds:uri="http://schemas.microsoft.com/office/infopath/2007/PartnerControls"/>
    <ds:schemaRef ds:uri="http://purl.org/dc/elements/1.1/"/>
    <ds:schemaRef ds:uri="581cfee2-c630-4554-92b2-68787b9159cf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7</Pages>
  <Words>2679</Words>
  <Characters>15808</Characters>
  <Application>Microsoft Office Word</Application>
  <DocSecurity>0</DocSecurity>
  <Lines>131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UTB</Company>
  <LinksUpToDate>false</LinksUpToDate>
  <CharactersWithSpaces>18451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Pilík</dc:creator>
  <cp:keywords/>
  <dc:description/>
  <cp:lastModifiedBy>Michal Pilík</cp:lastModifiedBy>
  <cp:revision>1</cp:revision>
  <dcterms:created xsi:type="dcterms:W3CDTF">2020-08-26T11:07:00Z</dcterms:created>
  <dcterms:modified xsi:type="dcterms:W3CDTF">2020-08-31T12:28:00Z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0x010100186AAE1020B34F47B623458130915FE1</vt:lpwstr>
  </property>
</Properties>
</file>